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51D7" w14:textId="337DAC70" w:rsidR="0025350C" w:rsidRDefault="004367E6" w:rsidP="001A4D78">
      <w:pPr>
        <w:spacing w:before="118" w:line="292" w:lineRule="auto"/>
        <w:ind w:right="701" w:firstLine="720"/>
        <w:jc w:val="center"/>
      </w:pPr>
      <w:r>
        <w:rPr>
          <w:spacing w:val="4"/>
        </w:rPr>
        <w:t>Na základě rozhodnutí Správní rady</w:t>
      </w:r>
      <w:r w:rsidR="001A4D78">
        <w:rPr>
          <w:spacing w:val="4"/>
        </w:rPr>
        <w:t xml:space="preserve"> vyhlašuje ČVS</w:t>
      </w:r>
    </w:p>
    <w:p w14:paraId="07A7B964" w14:textId="77777777" w:rsidR="0025350C" w:rsidRDefault="0025350C">
      <w:pPr>
        <w:pStyle w:val="Zkladntext"/>
        <w:spacing w:before="1"/>
        <w:jc w:val="left"/>
        <w:rPr>
          <w:sz w:val="26"/>
        </w:rPr>
      </w:pPr>
    </w:p>
    <w:p w14:paraId="487FEB06" w14:textId="79526630" w:rsidR="0025350C" w:rsidRPr="005F02B0" w:rsidRDefault="00F31FA5" w:rsidP="005F02B0">
      <w:pPr>
        <w:spacing w:before="1"/>
        <w:ind w:left="405" w:right="700"/>
        <w:jc w:val="center"/>
        <w:rPr>
          <w:b/>
          <w:sz w:val="32"/>
        </w:rPr>
      </w:pPr>
      <w:r>
        <w:rPr>
          <w:b/>
          <w:w w:val="85"/>
          <w:sz w:val="32"/>
        </w:rPr>
        <w:t>Podporu</w:t>
      </w:r>
      <w:r w:rsidR="00361C9C" w:rsidRPr="005F02B0">
        <w:rPr>
          <w:b/>
          <w:w w:val="85"/>
          <w:sz w:val="32"/>
        </w:rPr>
        <w:t xml:space="preserve"> </w:t>
      </w:r>
      <w:r w:rsidR="009A2A25">
        <w:rPr>
          <w:b/>
          <w:w w:val="85"/>
          <w:sz w:val="32"/>
        </w:rPr>
        <w:t>rozvoje</w:t>
      </w:r>
      <w:r w:rsidR="009E4D20" w:rsidRPr="005F02B0">
        <w:rPr>
          <w:b/>
          <w:w w:val="85"/>
          <w:sz w:val="32"/>
        </w:rPr>
        <w:t xml:space="preserve"> v oblasti mládeže </w:t>
      </w:r>
      <w:r w:rsidR="00A473C9">
        <w:rPr>
          <w:b/>
          <w:w w:val="85"/>
          <w:sz w:val="32"/>
        </w:rPr>
        <w:t>KVS</w:t>
      </w:r>
      <w:r w:rsidR="009E4D20" w:rsidRPr="005F02B0">
        <w:rPr>
          <w:b/>
          <w:w w:val="85"/>
          <w:sz w:val="32"/>
        </w:rPr>
        <w:t xml:space="preserve"> pro rok </w:t>
      </w:r>
      <w:r w:rsidR="001A4D78">
        <w:rPr>
          <w:b/>
          <w:w w:val="85"/>
          <w:sz w:val="32"/>
        </w:rPr>
        <w:t>2019</w:t>
      </w:r>
    </w:p>
    <w:p w14:paraId="6E6819C5" w14:textId="77777777" w:rsidR="0025350C" w:rsidRDefault="0025350C">
      <w:pPr>
        <w:pStyle w:val="Zkladntext"/>
        <w:spacing w:before="3"/>
        <w:jc w:val="left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6207"/>
      </w:tblGrid>
      <w:tr w:rsidR="0025350C" w14:paraId="3CB2D081" w14:textId="77777777" w:rsidTr="002D1B04">
        <w:trPr>
          <w:trHeight w:hRule="exact" w:val="628"/>
        </w:trPr>
        <w:tc>
          <w:tcPr>
            <w:tcW w:w="30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B19D8B" w14:textId="752254E0" w:rsidR="0025350C" w:rsidRDefault="007F58BF" w:rsidP="00A473C9">
            <w:pPr>
              <w:pStyle w:val="TableParagraph"/>
              <w:spacing w:before="69"/>
              <w:ind w:left="55"/>
              <w:rPr>
                <w:b/>
              </w:rPr>
            </w:pPr>
            <w:r>
              <w:rPr>
                <w:b/>
                <w:w w:val="90"/>
              </w:rPr>
              <w:t xml:space="preserve">Název </w:t>
            </w:r>
            <w:r w:rsidR="00192797">
              <w:rPr>
                <w:b/>
                <w:w w:val="90"/>
              </w:rPr>
              <w:t>podpory</w:t>
            </w:r>
            <w:r w:rsidR="00A473C9">
              <w:rPr>
                <w:b/>
                <w:w w:val="90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AF5A473" w14:textId="277D6EB7" w:rsidR="0025350C" w:rsidRDefault="00A473C9" w:rsidP="00732290">
            <w:pPr>
              <w:pStyle w:val="TableParagraph"/>
              <w:spacing w:before="69"/>
              <w:ind w:left="62"/>
              <w:rPr>
                <w:b/>
              </w:rPr>
            </w:pPr>
            <w:r>
              <w:rPr>
                <w:b/>
              </w:rPr>
              <w:t xml:space="preserve">Podpora rozvoje </w:t>
            </w:r>
            <w:r w:rsidR="009E4D20" w:rsidRPr="009E4D20">
              <w:rPr>
                <w:b/>
              </w:rPr>
              <w:t xml:space="preserve">v oblasti mládeže </w:t>
            </w:r>
            <w:r w:rsidR="00732290">
              <w:rPr>
                <w:b/>
              </w:rPr>
              <w:t>KVS</w:t>
            </w:r>
            <w:r w:rsidR="009E4D20" w:rsidRPr="009E4D20">
              <w:rPr>
                <w:b/>
              </w:rPr>
              <w:t xml:space="preserve"> pro rok </w:t>
            </w:r>
            <w:r w:rsidR="001A4D78">
              <w:rPr>
                <w:b/>
              </w:rPr>
              <w:t>2019</w:t>
            </w:r>
          </w:p>
        </w:tc>
      </w:tr>
      <w:tr w:rsidR="0025350C" w14:paraId="59DC9B9A" w14:textId="77777777" w:rsidTr="002D1B04">
        <w:trPr>
          <w:trHeight w:hRule="exact" w:val="1143"/>
        </w:trPr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C11A" w14:textId="77777777" w:rsidR="0025350C" w:rsidRPr="00702A08" w:rsidRDefault="0025350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8FDCCED" w14:textId="5EE233A7" w:rsidR="0025350C" w:rsidRPr="00702A08" w:rsidRDefault="009E4D20" w:rsidP="00A473C9">
            <w:pPr>
              <w:pStyle w:val="TableParagraph"/>
              <w:spacing w:before="69"/>
              <w:ind w:left="55"/>
              <w:rPr>
                <w:b/>
              </w:rPr>
            </w:pPr>
            <w:r w:rsidRPr="00702A08">
              <w:rPr>
                <w:b/>
                <w:w w:val="90"/>
              </w:rPr>
              <w:t xml:space="preserve">Účel </w:t>
            </w:r>
            <w:r w:rsidR="00192797" w:rsidRPr="00702A08">
              <w:rPr>
                <w:b/>
                <w:w w:val="90"/>
              </w:rPr>
              <w:t>podpory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B68B4" w14:textId="1D9CAC52" w:rsidR="0025350C" w:rsidRPr="00702A08" w:rsidRDefault="00192797" w:rsidP="001A4D78">
            <w:pPr>
              <w:pStyle w:val="TableParagraph"/>
              <w:spacing w:before="2" w:line="254" w:lineRule="auto"/>
              <w:ind w:left="62" w:right="909"/>
            </w:pPr>
            <w:bookmarkStart w:id="0" w:name="_Hlk519147451"/>
            <w:r w:rsidRPr="00702A08">
              <w:rPr>
                <w:rFonts w:cstheme="minorHAnsi"/>
              </w:rPr>
              <w:t>Podpora</w:t>
            </w:r>
            <w:r w:rsidR="00A473C9" w:rsidRPr="00702A08">
              <w:rPr>
                <w:rFonts w:cstheme="minorHAnsi"/>
              </w:rPr>
              <w:t xml:space="preserve"> </w:t>
            </w:r>
            <w:r w:rsidR="00D67178" w:rsidRPr="00702A08">
              <w:rPr>
                <w:rFonts w:cstheme="minorHAnsi"/>
              </w:rPr>
              <w:t>je zaměřen na</w:t>
            </w:r>
            <w:r w:rsidR="00A473C9" w:rsidRPr="00702A08">
              <w:rPr>
                <w:rFonts w:cstheme="minorHAnsi"/>
              </w:rPr>
              <w:t xml:space="preserve"> rozvoj</w:t>
            </w:r>
            <w:r w:rsidR="00361C9C" w:rsidRPr="00702A08">
              <w:rPr>
                <w:rFonts w:cstheme="minorHAnsi"/>
              </w:rPr>
              <w:t xml:space="preserve"> aktivit</w:t>
            </w:r>
            <w:r w:rsidR="009E4D20" w:rsidRPr="00702A08">
              <w:rPr>
                <w:rFonts w:cstheme="minorHAnsi"/>
              </w:rPr>
              <w:t xml:space="preserve">, které budou rozvíjet mládežnický volejbal </w:t>
            </w:r>
            <w:bookmarkEnd w:id="0"/>
            <w:r w:rsidR="001A4D78" w:rsidRPr="00702A08">
              <w:rPr>
                <w:rFonts w:cstheme="minorHAnsi"/>
              </w:rPr>
              <w:t>s primárním zacílením na KCM a barevný minivolejbal</w:t>
            </w:r>
          </w:p>
        </w:tc>
      </w:tr>
      <w:tr w:rsidR="0025350C" w14:paraId="6DEDBB73" w14:textId="77777777">
        <w:trPr>
          <w:trHeight w:hRule="exact" w:val="298"/>
        </w:trPr>
        <w:tc>
          <w:tcPr>
            <w:tcW w:w="9237" w:type="dxa"/>
            <w:gridSpan w:val="2"/>
            <w:tcBorders>
              <w:left w:val="nil"/>
              <w:right w:val="nil"/>
            </w:tcBorders>
          </w:tcPr>
          <w:p w14:paraId="36E0ECEB" w14:textId="77777777" w:rsidR="0025350C" w:rsidRDefault="0025350C"/>
        </w:tc>
      </w:tr>
      <w:tr w:rsidR="0025350C" w14:paraId="5840E548" w14:textId="77777777" w:rsidTr="002D1B04">
        <w:trPr>
          <w:trHeight w:hRule="exact" w:val="1132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543D20F0" w14:textId="77777777" w:rsidR="0025350C" w:rsidRDefault="0025350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8258243" w14:textId="23C85360" w:rsidR="0025350C" w:rsidRDefault="009E4D20" w:rsidP="00A473C9">
            <w:pPr>
              <w:pStyle w:val="TableParagraph"/>
              <w:ind w:left="55"/>
              <w:rPr>
                <w:b/>
              </w:rPr>
            </w:pPr>
            <w:r>
              <w:rPr>
                <w:b/>
                <w:w w:val="90"/>
              </w:rPr>
              <w:t xml:space="preserve">Lhůta použití </w:t>
            </w:r>
            <w:r w:rsidR="00192797">
              <w:rPr>
                <w:b/>
                <w:w w:val="90"/>
              </w:rPr>
              <w:t>podpory</w:t>
            </w:r>
            <w:r>
              <w:rPr>
                <w:b/>
                <w:w w:val="90"/>
              </w:rPr>
              <w:t>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62030D78" w14:textId="60CB070A" w:rsidR="0025350C" w:rsidRDefault="00192797" w:rsidP="00D67178">
            <w:pPr>
              <w:pStyle w:val="TableParagraph"/>
              <w:spacing w:before="2" w:line="254" w:lineRule="auto"/>
              <w:ind w:left="67" w:right="52"/>
              <w:jc w:val="both"/>
            </w:pPr>
            <w:r>
              <w:t>Podporu</w:t>
            </w:r>
            <w:r w:rsidR="002D1B04">
              <w:t xml:space="preserve"> </w:t>
            </w:r>
            <w:r w:rsidR="009E4D20">
              <w:t>lze</w:t>
            </w:r>
            <w:r w:rsidR="009E4D20">
              <w:rPr>
                <w:spacing w:val="-21"/>
              </w:rPr>
              <w:t xml:space="preserve"> </w:t>
            </w:r>
            <w:r w:rsidR="009E4D20">
              <w:t>použít</w:t>
            </w:r>
            <w:r w:rsidR="009E4D20">
              <w:rPr>
                <w:spacing w:val="-21"/>
              </w:rPr>
              <w:t xml:space="preserve"> </w:t>
            </w:r>
            <w:r w:rsidR="009E4D20">
              <w:t>na</w:t>
            </w:r>
            <w:r w:rsidR="009E4D20">
              <w:rPr>
                <w:spacing w:val="-21"/>
              </w:rPr>
              <w:t xml:space="preserve"> </w:t>
            </w:r>
            <w:r w:rsidR="009E4D20">
              <w:t>náklady</w:t>
            </w:r>
            <w:r w:rsidR="009E4D20">
              <w:rPr>
                <w:spacing w:val="-21"/>
              </w:rPr>
              <w:t xml:space="preserve"> </w:t>
            </w:r>
            <w:r w:rsidR="009E4D20">
              <w:t>roku</w:t>
            </w:r>
            <w:r w:rsidR="009E4D20">
              <w:rPr>
                <w:spacing w:val="-21"/>
              </w:rPr>
              <w:t xml:space="preserve"> </w:t>
            </w:r>
            <w:r w:rsidR="001A4D78">
              <w:t>2019</w:t>
            </w:r>
            <w:r w:rsidR="009E4D20">
              <w:rPr>
                <w:spacing w:val="-22"/>
              </w:rPr>
              <w:t xml:space="preserve"> </w:t>
            </w:r>
            <w:r w:rsidR="009E4D20">
              <w:t>vzniklé</w:t>
            </w:r>
            <w:r w:rsidR="009E4D20">
              <w:rPr>
                <w:spacing w:val="-22"/>
              </w:rPr>
              <w:t xml:space="preserve"> </w:t>
            </w:r>
            <w:r w:rsidR="009E4D20" w:rsidRPr="00624953">
              <w:rPr>
                <w:b/>
              </w:rPr>
              <w:t>od</w:t>
            </w:r>
            <w:r w:rsidR="009E4D20" w:rsidRPr="00624953">
              <w:rPr>
                <w:b/>
                <w:spacing w:val="-21"/>
              </w:rPr>
              <w:t xml:space="preserve"> </w:t>
            </w:r>
            <w:r w:rsidR="009E4D20" w:rsidRPr="00624953">
              <w:rPr>
                <w:b/>
              </w:rPr>
              <w:t>1.</w:t>
            </w:r>
            <w:r w:rsidR="009E4D20" w:rsidRPr="00624953">
              <w:rPr>
                <w:b/>
                <w:spacing w:val="-21"/>
              </w:rPr>
              <w:t xml:space="preserve"> </w:t>
            </w:r>
            <w:r w:rsidR="009E4D20" w:rsidRPr="00624953">
              <w:rPr>
                <w:b/>
              </w:rPr>
              <w:t>1.</w:t>
            </w:r>
            <w:r w:rsidR="009E4D20" w:rsidRPr="00624953">
              <w:rPr>
                <w:b/>
                <w:spacing w:val="-21"/>
              </w:rPr>
              <w:t xml:space="preserve"> </w:t>
            </w:r>
            <w:r w:rsidR="001A4D78">
              <w:rPr>
                <w:b/>
              </w:rPr>
              <w:t>2019</w:t>
            </w:r>
            <w:r w:rsidR="00D67178" w:rsidRPr="00624953">
              <w:rPr>
                <w:b/>
              </w:rPr>
              <w:t xml:space="preserve"> do 31.12.</w:t>
            </w:r>
            <w:r w:rsidR="001A4D78">
              <w:rPr>
                <w:b/>
              </w:rPr>
              <w:t>2019</w:t>
            </w:r>
            <w:r w:rsidR="009E4D20">
              <w:t>,</w:t>
            </w:r>
            <w:r w:rsidR="009E4D20">
              <w:rPr>
                <w:spacing w:val="-21"/>
              </w:rPr>
              <w:t xml:space="preserve"> </w:t>
            </w:r>
            <w:r w:rsidR="009E4D20">
              <w:t xml:space="preserve">které souvisejí s plněním účelu </w:t>
            </w:r>
            <w:r>
              <w:t>podpora</w:t>
            </w:r>
            <w:r w:rsidR="009E4D20">
              <w:t>, a budou uhrazeny nejpozději do</w:t>
            </w:r>
            <w:r w:rsidR="009E4D20">
              <w:rPr>
                <w:spacing w:val="-42"/>
              </w:rPr>
              <w:t xml:space="preserve"> </w:t>
            </w:r>
            <w:r w:rsidR="00817C97">
              <w:t>15.1.2020</w:t>
            </w:r>
            <w:r w:rsidR="00D67178">
              <w:t xml:space="preserve">. </w:t>
            </w:r>
          </w:p>
          <w:p w14:paraId="2A289939" w14:textId="77777777" w:rsidR="00D67178" w:rsidRDefault="00D67178" w:rsidP="00D67178">
            <w:pPr>
              <w:pStyle w:val="TableParagraph"/>
              <w:spacing w:before="2" w:line="254" w:lineRule="auto"/>
              <w:ind w:left="67" w:right="52"/>
              <w:jc w:val="both"/>
            </w:pPr>
          </w:p>
          <w:p w14:paraId="728AF75F" w14:textId="77777777" w:rsidR="00D67178" w:rsidRDefault="00D67178" w:rsidP="00D67178">
            <w:pPr>
              <w:pStyle w:val="TableParagraph"/>
              <w:spacing w:before="2" w:line="254" w:lineRule="auto"/>
              <w:ind w:left="67" w:right="52"/>
              <w:jc w:val="both"/>
            </w:pPr>
          </w:p>
        </w:tc>
      </w:tr>
      <w:tr w:rsidR="00D67178" w14:paraId="53BF622F" w14:textId="77777777" w:rsidTr="00A473C9">
        <w:trPr>
          <w:trHeight w:hRule="exact" w:val="613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4CA8D90A" w14:textId="77777777" w:rsidR="00D67178" w:rsidRDefault="00D67178" w:rsidP="00D67178">
            <w:pPr>
              <w:pStyle w:val="TableParagraph"/>
              <w:ind w:left="55"/>
              <w:rPr>
                <w:b/>
                <w:sz w:val="23"/>
              </w:rPr>
            </w:pPr>
            <w:r w:rsidRPr="00D67178">
              <w:rPr>
                <w:b/>
              </w:rPr>
              <w:t>Lhůta vyúčtování: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049B4554" w14:textId="35534F40" w:rsidR="00D67178" w:rsidRDefault="00D67178" w:rsidP="00D67178">
            <w:pPr>
              <w:pStyle w:val="TableParagraph"/>
              <w:spacing w:before="2" w:line="254" w:lineRule="auto"/>
              <w:ind w:left="67" w:right="52"/>
              <w:jc w:val="both"/>
            </w:pPr>
            <w:r>
              <w:t xml:space="preserve">Vyúčtování </w:t>
            </w:r>
            <w:r w:rsidR="00192797">
              <w:t>podpora</w:t>
            </w:r>
            <w:r>
              <w:t xml:space="preserve"> musí být doručeno na ČVS do </w:t>
            </w:r>
            <w:r w:rsidR="00C85847">
              <w:rPr>
                <w:b/>
              </w:rPr>
              <w:t>25.1.20</w:t>
            </w:r>
            <w:r w:rsidR="00702A08">
              <w:rPr>
                <w:b/>
              </w:rPr>
              <w:t>20</w:t>
            </w:r>
          </w:p>
        </w:tc>
      </w:tr>
      <w:tr w:rsidR="00D67178" w14:paraId="1BF8861B" w14:textId="77777777" w:rsidTr="00D67178">
        <w:trPr>
          <w:trHeight w:hRule="exact" w:val="401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70268787" w14:textId="77777777" w:rsidR="00D67178" w:rsidRPr="00D67178" w:rsidRDefault="00D67178" w:rsidP="00D67178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Lhůta předložení projektů: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112A39CF" w14:textId="7E422AA2" w:rsidR="00D67178" w:rsidRDefault="00624953" w:rsidP="001A4D78">
            <w:pPr>
              <w:pStyle w:val="TableParagraph"/>
              <w:spacing w:before="2" w:line="254" w:lineRule="auto"/>
              <w:ind w:left="67" w:right="52"/>
              <w:jc w:val="both"/>
            </w:pPr>
            <w:r>
              <w:t xml:space="preserve">Podporované projekty musejí být </w:t>
            </w:r>
            <w:r w:rsidRPr="00702A08">
              <w:t>předloženy do</w:t>
            </w:r>
            <w:r w:rsidR="00C85847" w:rsidRPr="00702A08">
              <w:rPr>
                <w:b/>
              </w:rPr>
              <w:t xml:space="preserve"> </w:t>
            </w:r>
            <w:r w:rsidR="00702A08" w:rsidRPr="001F3F35">
              <w:rPr>
                <w:b/>
              </w:rPr>
              <w:t>15.6</w:t>
            </w:r>
            <w:r w:rsidR="001A4D78" w:rsidRPr="001F3F35">
              <w:rPr>
                <w:b/>
              </w:rPr>
              <w:t>.2019</w:t>
            </w:r>
          </w:p>
        </w:tc>
      </w:tr>
      <w:tr w:rsidR="00240320" w14:paraId="3CE80217" w14:textId="77777777" w:rsidTr="00D67178">
        <w:trPr>
          <w:trHeight w:hRule="exact" w:val="401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37F3BD70" w14:textId="2578F370" w:rsidR="00240320" w:rsidRPr="00702A08" w:rsidRDefault="00240320" w:rsidP="00D67178">
            <w:pPr>
              <w:pStyle w:val="TableParagraph"/>
              <w:ind w:left="55"/>
              <w:rPr>
                <w:b/>
              </w:rPr>
            </w:pPr>
            <w:r w:rsidRPr="00702A08">
              <w:rPr>
                <w:b/>
              </w:rPr>
              <w:t>Vyhodnocení projektů: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1CB73E91" w14:textId="1C1F54D6" w:rsidR="00240320" w:rsidRPr="00702A08" w:rsidRDefault="001B5496" w:rsidP="001B5496">
            <w:pPr>
              <w:pStyle w:val="TableParagraph"/>
              <w:spacing w:before="2" w:line="254" w:lineRule="auto"/>
              <w:ind w:right="52"/>
              <w:jc w:val="both"/>
            </w:pPr>
            <w:r w:rsidRPr="00702A08">
              <w:t xml:space="preserve"> </w:t>
            </w:r>
            <w:r w:rsidR="001A4D78" w:rsidRPr="001F3F35">
              <w:t>Do 30.6</w:t>
            </w:r>
            <w:r w:rsidR="00240320" w:rsidRPr="001F3F35">
              <w:t>.</w:t>
            </w:r>
            <w:r w:rsidR="001A4D78" w:rsidRPr="001F3F35">
              <w:t>2019</w:t>
            </w:r>
            <w:r w:rsidR="00702A08" w:rsidRPr="001F3F35">
              <w:t>, schválení SR 17.7.2019</w:t>
            </w:r>
          </w:p>
        </w:tc>
      </w:tr>
      <w:tr w:rsidR="0025350C" w14:paraId="2C7BAA15" w14:textId="77777777" w:rsidTr="00FE22C7">
        <w:trPr>
          <w:trHeight w:hRule="exact" w:val="621"/>
        </w:trPr>
        <w:tc>
          <w:tcPr>
            <w:tcW w:w="3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D5C" w14:textId="6515C83C" w:rsidR="0025350C" w:rsidRDefault="009E4D20" w:rsidP="00777E44">
            <w:pPr>
              <w:pStyle w:val="TableParagraph"/>
              <w:ind w:left="55"/>
              <w:rPr>
                <w:b/>
              </w:rPr>
            </w:pPr>
            <w:r w:rsidRPr="00624953">
              <w:rPr>
                <w:b/>
              </w:rPr>
              <w:t xml:space="preserve">Celkový </w:t>
            </w:r>
            <w:r w:rsidR="00777E44">
              <w:rPr>
                <w:b/>
              </w:rPr>
              <w:t xml:space="preserve">objem </w:t>
            </w:r>
            <w:r w:rsidR="00192797" w:rsidRPr="00FE22C7">
              <w:rPr>
                <w:b/>
              </w:rPr>
              <w:t>podpory</w:t>
            </w:r>
            <w:r w:rsidRPr="00624953">
              <w:rPr>
                <w:b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9234" w14:textId="62475E21" w:rsidR="00777E44" w:rsidRPr="00FE22C7" w:rsidRDefault="001B5496" w:rsidP="009B04C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BD0594">
              <w:rPr>
                <w:b/>
              </w:rPr>
              <w:t>1 5</w:t>
            </w:r>
            <w:r w:rsidR="00A473C9" w:rsidRPr="00777E44">
              <w:rPr>
                <w:b/>
              </w:rPr>
              <w:t>00 000</w:t>
            </w:r>
            <w:r w:rsidR="00D67178" w:rsidRPr="00777E44">
              <w:rPr>
                <w:b/>
              </w:rPr>
              <w:t>,- Kč</w:t>
            </w:r>
          </w:p>
          <w:p w14:paraId="57993B10" w14:textId="1DDA09A8" w:rsidR="00777E44" w:rsidRPr="00FE22C7" w:rsidRDefault="00777E44" w:rsidP="00A473C9">
            <w:pPr>
              <w:pStyle w:val="TableParagraph"/>
              <w:rPr>
                <w:b/>
              </w:rPr>
            </w:pPr>
          </w:p>
        </w:tc>
      </w:tr>
    </w:tbl>
    <w:p w14:paraId="1F38B63B" w14:textId="01A96C38" w:rsidR="0025350C" w:rsidRDefault="0025350C">
      <w:pPr>
        <w:pStyle w:val="Zkladntext"/>
        <w:spacing w:before="9"/>
        <w:jc w:val="left"/>
        <w:rPr>
          <w:b/>
          <w:sz w:val="22"/>
        </w:rPr>
      </w:pPr>
    </w:p>
    <w:p w14:paraId="5DB3BDAA" w14:textId="77777777" w:rsidR="0025350C" w:rsidRDefault="0025350C">
      <w:pPr>
        <w:spacing w:line="252" w:lineRule="auto"/>
      </w:pPr>
    </w:p>
    <w:p w14:paraId="5380007E" w14:textId="7044B977" w:rsidR="00361C9C" w:rsidRDefault="007F58BF" w:rsidP="00011261">
      <w:pPr>
        <w:spacing w:after="120" w:line="252" w:lineRule="auto"/>
        <w:rPr>
          <w:b/>
          <w:sz w:val="28"/>
          <w:szCs w:val="28"/>
        </w:rPr>
      </w:pPr>
      <w:r w:rsidRPr="005F02B0">
        <w:rPr>
          <w:b/>
          <w:sz w:val="28"/>
          <w:szCs w:val="28"/>
        </w:rPr>
        <w:t xml:space="preserve">Popis </w:t>
      </w:r>
      <w:r w:rsidR="00BD0594">
        <w:rPr>
          <w:b/>
          <w:sz w:val="28"/>
          <w:szCs w:val="28"/>
        </w:rPr>
        <w:t>podpory</w:t>
      </w:r>
      <w:r w:rsidR="00BD0594">
        <w:rPr>
          <w:b/>
          <w:sz w:val="28"/>
          <w:szCs w:val="28"/>
        </w:rPr>
        <w:tab/>
      </w:r>
    </w:p>
    <w:p w14:paraId="2DBCB099" w14:textId="5F208DE2" w:rsidR="009B04C6" w:rsidRDefault="00192797" w:rsidP="009B04C6">
      <w:pPr>
        <w:spacing w:line="360" w:lineRule="auto"/>
      </w:pPr>
      <w:r>
        <w:t>Podpora</w:t>
      </w:r>
      <w:r w:rsidR="00A473C9">
        <w:t xml:space="preserve"> </w:t>
      </w:r>
      <w:proofErr w:type="gramStart"/>
      <w:r w:rsidR="00A473C9">
        <w:t>na</w:t>
      </w:r>
      <w:proofErr w:type="gramEnd"/>
      <w:r w:rsidR="00A473C9">
        <w:t xml:space="preserve"> rozvoj </w:t>
      </w:r>
      <w:r w:rsidR="007F58BF" w:rsidRPr="007F58BF">
        <w:t xml:space="preserve">oblasti mládeže na úrovni krajů pro rok </w:t>
      </w:r>
      <w:r w:rsidR="001A4D78">
        <w:t>2019</w:t>
      </w:r>
      <w:r w:rsidR="007F58BF">
        <w:t xml:space="preserve"> je ze strany Č</w:t>
      </w:r>
      <w:r w:rsidR="009B04C6">
        <w:t>eského volejbalového svazu</w:t>
      </w:r>
      <w:r w:rsidR="007F58BF">
        <w:t xml:space="preserve"> </w:t>
      </w:r>
      <w:r w:rsidR="007F58BF">
        <w:rPr>
          <w:rFonts w:cstheme="minorHAnsi"/>
        </w:rPr>
        <w:t xml:space="preserve">(dale jen </w:t>
      </w:r>
      <w:r w:rsidR="007F58BF" w:rsidRPr="001F3F35">
        <w:t>ČVS)</w:t>
      </w:r>
      <w:r w:rsidR="009B04C6" w:rsidRPr="001F3F35">
        <w:t xml:space="preserve"> směřována na </w:t>
      </w:r>
      <w:r w:rsidR="009B04C6">
        <w:t xml:space="preserve">zajištění přípravy mladých talentovaných </w:t>
      </w:r>
      <w:r w:rsidR="00063B48">
        <w:t>volejbalistů mládežnických</w:t>
      </w:r>
      <w:r w:rsidR="009B04C6">
        <w:t xml:space="preserve"> kategori</w:t>
      </w:r>
      <w:r w:rsidR="00063B48">
        <w:t>í</w:t>
      </w:r>
      <w:r w:rsidR="009B04C6">
        <w:t xml:space="preserve"> směřující ke státní reprezentaci</w:t>
      </w:r>
      <w:r w:rsidR="00C66597">
        <w:t xml:space="preserve">. </w:t>
      </w:r>
      <w:r w:rsidR="00C66597" w:rsidRPr="001F3F35">
        <w:t xml:space="preserve">Ve věkové kategorii do 11 let to </w:t>
      </w:r>
      <w:proofErr w:type="gramStart"/>
      <w:r w:rsidR="00C66597" w:rsidRPr="001F3F35">
        <w:t xml:space="preserve">je </w:t>
      </w:r>
      <w:r w:rsidR="009B04C6">
        <w:t xml:space="preserve"> </w:t>
      </w:r>
      <w:r w:rsidR="00C66597" w:rsidRPr="001F3F35">
        <w:t>projekt</w:t>
      </w:r>
      <w:proofErr w:type="gramEnd"/>
      <w:r w:rsidR="00C66597" w:rsidRPr="001F3F35">
        <w:t xml:space="preserve"> “Barevného minivolejbalu”(BM) pro jednotlivé ročníky ZŠ</w:t>
      </w:r>
      <w:r w:rsidR="00346346" w:rsidRPr="001F3F35">
        <w:t>, který je charakterizován náborovými turnaji v jednotlivých barvách</w:t>
      </w:r>
      <w:r w:rsidR="00C66597" w:rsidRPr="001F3F35">
        <w:t xml:space="preserve">. V kategorii od 11 let do 15 let to je činnost KCM </w:t>
      </w:r>
      <w:proofErr w:type="gramStart"/>
      <w:r w:rsidR="00C66597" w:rsidRPr="001F3F35">
        <w:t>( Krajská</w:t>
      </w:r>
      <w:proofErr w:type="gramEnd"/>
      <w:r w:rsidR="00C66597" w:rsidRPr="001F3F35">
        <w:t xml:space="preserve"> centra mládeže), která k</w:t>
      </w:r>
      <w:r w:rsidR="00346346" w:rsidRPr="001F3F35">
        <w:t>aždý rok vrcholí turnajem všech</w:t>
      </w:r>
      <w:r w:rsidR="00C66597" w:rsidRPr="001F3F35">
        <w:t xml:space="preserve"> krajů. </w:t>
      </w:r>
      <w:proofErr w:type="gramStart"/>
      <w:r w:rsidR="00C66597" w:rsidRPr="001F3F35">
        <w:t xml:space="preserve">Nedílnou součástí činnosti krajů je péče o </w:t>
      </w:r>
      <w:r w:rsidR="00346346" w:rsidRPr="001F3F35">
        <w:t xml:space="preserve">volejbalové </w:t>
      </w:r>
      <w:r w:rsidR="00C66597" w:rsidRPr="001F3F35">
        <w:t>dovednost</w:t>
      </w:r>
      <w:r w:rsidR="00346346" w:rsidRPr="001F3F35">
        <w:t>i</w:t>
      </w:r>
      <w:r w:rsidR="00C66597" w:rsidRPr="001F3F35">
        <w:t xml:space="preserve"> </w:t>
      </w:r>
      <w:r w:rsidR="00346346" w:rsidRPr="001F3F35">
        <w:t xml:space="preserve">a herní </w:t>
      </w:r>
      <w:r w:rsidR="00C66597" w:rsidRPr="001F3F35">
        <w:t>úroveň mladých volejbalistů formou kempů, kde hlavní náplní je zdokonalová</w:t>
      </w:r>
      <w:r w:rsidR="001F3F35" w:rsidRPr="001F3F35">
        <w:t xml:space="preserve">ní herních činností jednotlivce </w:t>
      </w:r>
      <w:r w:rsidR="009B04C6">
        <w:t>a to formou turnajů KCM.</w:t>
      </w:r>
      <w:proofErr w:type="gramEnd"/>
      <w:r w:rsidR="009B04C6">
        <w:t xml:space="preserve"> Dále </w:t>
      </w:r>
      <w:proofErr w:type="gramStart"/>
      <w:r w:rsidR="009B04C6">
        <w:t>na</w:t>
      </w:r>
      <w:proofErr w:type="gramEnd"/>
      <w:r w:rsidR="009B04C6">
        <w:t xml:space="preserve"> zajištění sportovní výkonnostní činnosti </w:t>
      </w:r>
      <w:r w:rsidR="007D076B">
        <w:t>talentované mládeže formou turna</w:t>
      </w:r>
      <w:r w:rsidR="009B04C6">
        <w:t xml:space="preserve">jů barevného minivolejbalu dětí.  </w:t>
      </w:r>
    </w:p>
    <w:p w14:paraId="61AC244B" w14:textId="77777777" w:rsidR="00192797" w:rsidRDefault="00192797" w:rsidP="00011261">
      <w:pPr>
        <w:spacing w:after="120" w:line="252" w:lineRule="auto"/>
        <w:rPr>
          <w:b/>
          <w:sz w:val="28"/>
          <w:szCs w:val="28"/>
        </w:rPr>
      </w:pPr>
    </w:p>
    <w:p w14:paraId="00BAAABC" w14:textId="14349F87" w:rsidR="00192797" w:rsidRDefault="00192797" w:rsidP="001927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Povinnosti příjemce podpory</w:t>
      </w:r>
    </w:p>
    <w:p w14:paraId="54632BAC" w14:textId="5D2A6615" w:rsidR="0025350C" w:rsidRPr="00192797" w:rsidRDefault="006E4929" w:rsidP="00192797">
      <w:pPr>
        <w:pStyle w:val="Odstavecseseznamem"/>
        <w:numPr>
          <w:ilvl w:val="0"/>
          <w:numId w:val="19"/>
        </w:numPr>
        <w:spacing w:line="360" w:lineRule="auto"/>
        <w:rPr>
          <w:rFonts w:cstheme="minorHAnsi"/>
        </w:rPr>
      </w:pPr>
      <w:r w:rsidRPr="00192797">
        <w:rPr>
          <w:rFonts w:cstheme="minorHAnsi"/>
        </w:rPr>
        <w:t xml:space="preserve">Příjemce je povinen </w:t>
      </w:r>
      <w:r w:rsidR="002D1B04" w:rsidRPr="00192797">
        <w:rPr>
          <w:rFonts w:cstheme="minorHAnsi"/>
        </w:rPr>
        <w:t>při použití</w:t>
      </w:r>
      <w:r w:rsidR="009E4D20" w:rsidRPr="00192797">
        <w:rPr>
          <w:rFonts w:cstheme="minorHAnsi"/>
        </w:rPr>
        <w:t xml:space="preserve"> </w:t>
      </w:r>
      <w:r w:rsidR="00192797">
        <w:rPr>
          <w:rFonts w:cstheme="minorHAnsi"/>
        </w:rPr>
        <w:t>podpory</w:t>
      </w:r>
      <w:r w:rsidR="002D1B04" w:rsidRPr="00192797">
        <w:rPr>
          <w:rFonts w:cstheme="minorHAnsi"/>
        </w:rPr>
        <w:t xml:space="preserve"> </w:t>
      </w:r>
      <w:r w:rsidR="009E4D20" w:rsidRPr="00192797">
        <w:rPr>
          <w:rFonts w:cstheme="minorHAnsi"/>
        </w:rPr>
        <w:t>postupovat</w:t>
      </w:r>
      <w:r w:rsidR="002D1B04" w:rsidRPr="00192797">
        <w:rPr>
          <w:rFonts w:cstheme="minorHAnsi"/>
        </w:rPr>
        <w:t xml:space="preserve"> v souladu se </w:t>
      </w:r>
      <w:r w:rsidR="009E4D20" w:rsidRPr="00192797">
        <w:rPr>
          <w:rFonts w:cstheme="minorHAnsi"/>
        </w:rPr>
        <w:t xml:space="preserve">zákonem č. 218/2000 Sb., o rozpočtových pravidlech </w:t>
      </w:r>
      <w:proofErr w:type="gramStart"/>
      <w:r w:rsidR="009E4D20" w:rsidRPr="00192797">
        <w:rPr>
          <w:rFonts w:cstheme="minorHAnsi"/>
        </w:rPr>
        <w:t>a</w:t>
      </w:r>
      <w:proofErr w:type="gramEnd"/>
      <w:r w:rsidR="009E4D20" w:rsidRPr="00192797">
        <w:rPr>
          <w:rFonts w:cstheme="minorHAnsi"/>
        </w:rPr>
        <w:t xml:space="preserve"> o změně některých souvisejících zákonů (rozpočtová pravidla), ve znění pozdějších předpisů.</w:t>
      </w:r>
    </w:p>
    <w:p w14:paraId="7B8F5B6B" w14:textId="5CC26D61" w:rsidR="0025350C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lastRenderedPageBreak/>
        <w:t xml:space="preserve">Na rozhodnutí o poskytnutí </w:t>
      </w:r>
      <w:r w:rsidR="00192797">
        <w:rPr>
          <w:rFonts w:cstheme="minorHAnsi"/>
        </w:rPr>
        <w:t>podpory</w:t>
      </w:r>
      <w:r w:rsidRPr="005F02B0">
        <w:rPr>
          <w:rFonts w:cstheme="minorHAnsi"/>
        </w:rPr>
        <w:t xml:space="preserve"> se nevztahují obecné předpisy o správním řízení a je vyloučeno jeho soudní přezkoumání.</w:t>
      </w:r>
    </w:p>
    <w:p w14:paraId="45B31454" w14:textId="77777777" w:rsidR="0025350C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 xml:space="preserve">Případnou opravu zřejmých nesprávností v rozhodnutí, kterými jsou zejména chyby v psaní a počtech, provede </w:t>
      </w:r>
      <w:r w:rsidR="000E3C4F" w:rsidRPr="005F02B0">
        <w:rPr>
          <w:rFonts w:cstheme="minorHAnsi"/>
        </w:rPr>
        <w:t>ČVS</w:t>
      </w:r>
      <w:r w:rsidRPr="005F02B0">
        <w:rPr>
          <w:rFonts w:cstheme="minorHAnsi"/>
        </w:rPr>
        <w:t xml:space="preserve"> bez nutnosti žádosti příjemcem, vydáním </w:t>
      </w:r>
      <w:proofErr w:type="gramStart"/>
      <w:r w:rsidRPr="005F02B0">
        <w:rPr>
          <w:rFonts w:cstheme="minorHAnsi"/>
        </w:rPr>
        <w:t>opravného  rozhodnutí</w:t>
      </w:r>
      <w:proofErr w:type="gramEnd"/>
      <w:r w:rsidRPr="005F02B0">
        <w:rPr>
          <w:rFonts w:cstheme="minorHAnsi"/>
        </w:rPr>
        <w:t>.</w:t>
      </w:r>
    </w:p>
    <w:p w14:paraId="021FA91F" w14:textId="77777777" w:rsidR="0025350C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 xml:space="preserve">Pokud pověření zaměstnanci </w:t>
      </w:r>
      <w:r w:rsidR="000E3C4F" w:rsidRPr="005F02B0">
        <w:rPr>
          <w:rFonts w:cstheme="minorHAnsi"/>
        </w:rPr>
        <w:t>ČVS</w:t>
      </w:r>
      <w:r w:rsidRPr="005F02B0">
        <w:rPr>
          <w:rFonts w:cstheme="minorHAnsi"/>
        </w:rPr>
        <w:t xml:space="preserve"> </w:t>
      </w:r>
      <w:proofErr w:type="gramStart"/>
      <w:r w:rsidRPr="005F02B0">
        <w:rPr>
          <w:rFonts w:cstheme="minorHAnsi"/>
        </w:rPr>
        <w:t>na</w:t>
      </w:r>
      <w:proofErr w:type="gramEnd"/>
      <w:r w:rsidRPr="005F02B0">
        <w:rPr>
          <w:rFonts w:cstheme="minorHAnsi"/>
        </w:rPr>
        <w:t xml:space="preserve"> základě provedené kontroly dojdou k závěru, že na straně příjemce mohlo dojít k porušení rozpočtové kázně, jsou povinni dát podnět finančnímu úřadu, který je oprávněn o porušení rozpočtové kázně rozhodnout.</w:t>
      </w:r>
    </w:p>
    <w:p w14:paraId="037709C6" w14:textId="08BEA948" w:rsidR="00E93D08" w:rsidRPr="005F02B0" w:rsidRDefault="00E93D08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Příjemce je povinen vyúčtovat využití poskytnutých prostředků nejpozději do 25.1.2020.</w:t>
      </w:r>
    </w:p>
    <w:p w14:paraId="13A7AC22" w14:textId="497FB9A7" w:rsidR="00CB389D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>V případě, že příjemce správně, včas a úpl</w:t>
      </w:r>
      <w:r w:rsidR="006E4929">
        <w:rPr>
          <w:rFonts w:cstheme="minorHAnsi"/>
        </w:rPr>
        <w:t xml:space="preserve">ně nevyúčtuje poskytnutý </w:t>
      </w:r>
      <w:r w:rsidR="00192797">
        <w:rPr>
          <w:rFonts w:cstheme="minorHAnsi"/>
        </w:rPr>
        <w:t>podporu</w:t>
      </w:r>
      <w:r w:rsidRPr="005F02B0">
        <w:rPr>
          <w:rFonts w:cstheme="minorHAnsi"/>
        </w:rPr>
        <w:t xml:space="preserve">, </w:t>
      </w:r>
      <w:r w:rsidR="000E3C4F" w:rsidRPr="005F02B0">
        <w:rPr>
          <w:rFonts w:cstheme="minorHAnsi"/>
        </w:rPr>
        <w:t xml:space="preserve">musí do </w:t>
      </w:r>
      <w:proofErr w:type="gramStart"/>
      <w:r w:rsidR="000E3C4F" w:rsidRPr="005F02B0">
        <w:rPr>
          <w:rFonts w:cstheme="minorHAnsi"/>
        </w:rPr>
        <w:t>31.1.</w:t>
      </w:r>
      <w:r w:rsidR="001A4D78">
        <w:rPr>
          <w:rFonts w:cstheme="minorHAnsi"/>
        </w:rPr>
        <w:t>2019</w:t>
      </w:r>
      <w:r w:rsidR="000E3C4F" w:rsidRPr="005F02B0">
        <w:rPr>
          <w:rFonts w:cstheme="minorHAnsi"/>
        </w:rPr>
        <w:t xml:space="preserve">  nevyúčtované</w:t>
      </w:r>
      <w:proofErr w:type="gramEnd"/>
      <w:r w:rsidR="000E3C4F" w:rsidRPr="005F02B0">
        <w:rPr>
          <w:rFonts w:cstheme="minorHAnsi"/>
        </w:rPr>
        <w:t xml:space="preserve"> prostředky vrátit zpět na účet ČVS.</w:t>
      </w:r>
    </w:p>
    <w:p w14:paraId="22834BBA" w14:textId="77777777" w:rsidR="00CB389D" w:rsidRDefault="00CB389D" w:rsidP="00CB389D">
      <w:pPr>
        <w:tabs>
          <w:tab w:val="left" w:pos="825"/>
        </w:tabs>
        <w:spacing w:line="254" w:lineRule="auto"/>
        <w:ind w:right="115"/>
        <w:rPr>
          <w:sz w:val="24"/>
        </w:rPr>
      </w:pPr>
    </w:p>
    <w:p w14:paraId="20A867A8" w14:textId="77777777" w:rsidR="00FC7CEE" w:rsidRDefault="00FC7CEE" w:rsidP="00011261">
      <w:pPr>
        <w:spacing w:after="120" w:line="252" w:lineRule="auto"/>
        <w:rPr>
          <w:b/>
          <w:sz w:val="28"/>
          <w:szCs w:val="28"/>
        </w:rPr>
      </w:pPr>
    </w:p>
    <w:p w14:paraId="089F0958" w14:textId="7C4AC254" w:rsidR="005F02B0" w:rsidRDefault="005F02B0" w:rsidP="00011261">
      <w:pPr>
        <w:spacing w:after="12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Další podmínky</w:t>
      </w:r>
      <w:r w:rsidR="00EA512B">
        <w:rPr>
          <w:b/>
          <w:sz w:val="28"/>
          <w:szCs w:val="28"/>
        </w:rPr>
        <w:t xml:space="preserve">: </w:t>
      </w:r>
    </w:p>
    <w:p w14:paraId="583619FB" w14:textId="14834D09" w:rsidR="005F02B0" w:rsidRPr="00FC7CEE" w:rsidRDefault="005F02B0" w:rsidP="00EA512B">
      <w:pPr>
        <w:pStyle w:val="Odstavecseseznamem"/>
        <w:numPr>
          <w:ilvl w:val="0"/>
          <w:numId w:val="24"/>
        </w:numPr>
        <w:spacing w:line="360" w:lineRule="auto"/>
        <w:rPr>
          <w:rFonts w:cstheme="minorHAnsi"/>
          <w:b/>
        </w:rPr>
      </w:pPr>
      <w:r w:rsidRPr="00FC7CEE">
        <w:rPr>
          <w:rFonts w:cstheme="minorHAnsi"/>
          <w:b/>
        </w:rPr>
        <w:t xml:space="preserve">Příjemce je oprávněn použít </w:t>
      </w:r>
      <w:r w:rsidR="00192797">
        <w:rPr>
          <w:rFonts w:cstheme="minorHAnsi"/>
          <w:b/>
        </w:rPr>
        <w:t>podporu</w:t>
      </w:r>
      <w:r w:rsidRPr="00FC7CEE">
        <w:rPr>
          <w:rFonts w:cstheme="minorHAnsi"/>
          <w:b/>
        </w:rPr>
        <w:t xml:space="preserve"> na:</w:t>
      </w:r>
    </w:p>
    <w:p w14:paraId="326764C9" w14:textId="37330760" w:rsidR="00192797" w:rsidRDefault="00192797" w:rsidP="00EA512B">
      <w:pPr>
        <w:pStyle w:val="Odstavecseseznamem"/>
        <w:numPr>
          <w:ilvl w:val="0"/>
          <w:numId w:val="25"/>
        </w:numPr>
        <w:tabs>
          <w:tab w:val="left" w:pos="538"/>
        </w:tabs>
        <w:spacing w:line="360" w:lineRule="auto"/>
        <w:ind w:right="114"/>
      </w:pPr>
      <w:r>
        <w:t>činn</w:t>
      </w:r>
      <w:r w:rsidR="009B04C6">
        <w:t xml:space="preserve">osti související s organizací </w:t>
      </w:r>
      <w:r>
        <w:t>sportovních akcí, pořádáni akcí na podporu rozvoje daného sportu, náborových a propagačních akci,</w:t>
      </w:r>
    </w:p>
    <w:p w14:paraId="633AD774" w14:textId="24F3011E" w:rsidR="00192797" w:rsidRDefault="00192797" w:rsidP="00EA512B">
      <w:pPr>
        <w:pStyle w:val="Odstavecseseznamem"/>
        <w:numPr>
          <w:ilvl w:val="0"/>
          <w:numId w:val="25"/>
        </w:numPr>
        <w:tabs>
          <w:tab w:val="left" w:pos="538"/>
        </w:tabs>
        <w:spacing w:line="360" w:lineRule="auto"/>
        <w:ind w:right="114"/>
      </w:pPr>
      <w:r>
        <w:t>cestovné, dopravu, ubytování, stravováni v ČR</w:t>
      </w:r>
      <w:r w:rsidR="00EA512B">
        <w:t xml:space="preserve"> </w:t>
      </w:r>
      <w:r>
        <w:t>i v zahraničí, pokud souvisejí s plněním účelu podpory,</w:t>
      </w:r>
    </w:p>
    <w:p w14:paraId="0EFA0066" w14:textId="1807582B" w:rsidR="00192797" w:rsidRDefault="00192797" w:rsidP="00EA512B">
      <w:pPr>
        <w:pStyle w:val="Odstavecseseznamem"/>
        <w:numPr>
          <w:ilvl w:val="0"/>
          <w:numId w:val="25"/>
        </w:numPr>
        <w:tabs>
          <w:tab w:val="left" w:pos="538"/>
        </w:tabs>
        <w:spacing w:line="360" w:lineRule="auto"/>
        <w:ind w:right="114"/>
      </w:pPr>
      <w:proofErr w:type="gramStart"/>
      <w:r>
        <w:t>vybavení</w:t>
      </w:r>
      <w:proofErr w:type="gramEnd"/>
      <w:r>
        <w:t xml:space="preserve"> hmotným majetkem souvisejícím s plněním účelu podpory, jehož oceněni je nižší nebo rovno 40 tis. KČ, souhrnně s písm. m) však nejvýše do 25 % z celkové poskytnuté podpory,</w:t>
      </w:r>
    </w:p>
    <w:p w14:paraId="2DAAA6F3" w14:textId="0ED3D1AB" w:rsidR="00EA512B" w:rsidRDefault="00192797" w:rsidP="00EA512B">
      <w:pPr>
        <w:pStyle w:val="Odstavecseseznamem"/>
        <w:numPr>
          <w:ilvl w:val="0"/>
          <w:numId w:val="25"/>
        </w:numPr>
        <w:tabs>
          <w:tab w:val="left" w:pos="538"/>
        </w:tabs>
        <w:spacing w:line="360" w:lineRule="auto"/>
        <w:ind w:right="114"/>
      </w:pPr>
      <w:proofErr w:type="gramStart"/>
      <w:r>
        <w:t>odměny</w:t>
      </w:r>
      <w:proofErr w:type="gramEnd"/>
      <w:r>
        <w:t xml:space="preserve"> a mzdové náklady trenérů (včetně trenérský služeb), členů realizačního týmu a dalších podpůrných pracovníků, prokazatelně se podílejících na aktivitách naplňujících účel podpory, je možné čerpat s</w:t>
      </w:r>
      <w:r w:rsidR="009B04C6">
        <w:t xml:space="preserve"> limitem do 50 tis. KČ </w:t>
      </w:r>
      <w:proofErr w:type="gramStart"/>
      <w:r w:rsidR="009B04C6">
        <w:t>na</w:t>
      </w:r>
      <w:proofErr w:type="gramEnd"/>
      <w:r w:rsidR="009B04C6">
        <w:t xml:space="preserve"> osobu a měsíc. Z podpory</w:t>
      </w:r>
      <w:r w:rsidR="00EA512B">
        <w:t xml:space="preserve"> lze hradit i související povinné zákonné odvody zaměstnavatele, které nejsou do výše limitu zahrnuty. Výše uvedený limit je platný pro výkon práce v pracovním poměru, v rámci dohod o pracích konaných mimo pracovní poměr</w:t>
      </w:r>
      <w:r w:rsidR="00BD4109">
        <w:t xml:space="preserve"> </w:t>
      </w:r>
      <w:r w:rsidR="00EA512B">
        <w:t>(DPP</w:t>
      </w:r>
      <w:r w:rsidR="00BD4109">
        <w:t xml:space="preserve"> </w:t>
      </w:r>
      <w:r w:rsidR="00EA512B">
        <w:t>a DPČ)</w:t>
      </w:r>
      <w:r w:rsidR="00BD4109">
        <w:t xml:space="preserve"> </w:t>
      </w:r>
      <w:r w:rsidR="00EA512B">
        <w:t>i v rámci</w:t>
      </w:r>
      <w:r w:rsidR="00BD4109">
        <w:t xml:space="preserve"> </w:t>
      </w:r>
      <w:r w:rsidR="00EA512B">
        <w:t>služeb</w:t>
      </w:r>
      <w:r w:rsidR="00BD4109">
        <w:t xml:space="preserve"> </w:t>
      </w:r>
      <w:r w:rsidR="00EA512B">
        <w:t>poskytovaných osobami</w:t>
      </w:r>
      <w:r w:rsidR="00BD4109">
        <w:t xml:space="preserve"> </w:t>
      </w:r>
      <w:r w:rsidR="00EA512B">
        <w:t>samostatně výdělečně činnými (OSVČ),</w:t>
      </w:r>
    </w:p>
    <w:p w14:paraId="4AF0AFC4" w14:textId="33C249E1" w:rsidR="00D67178" w:rsidRDefault="00EA512B" w:rsidP="00EA512B">
      <w:pPr>
        <w:pStyle w:val="Odstavecseseznamem"/>
        <w:numPr>
          <w:ilvl w:val="0"/>
          <w:numId w:val="25"/>
        </w:numPr>
        <w:tabs>
          <w:tab w:val="left" w:pos="538"/>
        </w:tabs>
        <w:spacing w:line="360" w:lineRule="auto"/>
        <w:ind w:right="114"/>
      </w:pPr>
      <w:proofErr w:type="gramStart"/>
      <w:r>
        <w:t>ostatní</w:t>
      </w:r>
      <w:proofErr w:type="gramEnd"/>
      <w:r>
        <w:t xml:space="preserve"> výdaje vztahující se k aktivitám prokazatelně naplňujícím účel podpory, pokud nejsou uvedeny výše. </w:t>
      </w:r>
    </w:p>
    <w:p w14:paraId="3F991A2D" w14:textId="77777777" w:rsidR="00EA512B" w:rsidRDefault="00EA512B" w:rsidP="00EA512B">
      <w:pPr>
        <w:tabs>
          <w:tab w:val="left" w:pos="538"/>
        </w:tabs>
        <w:spacing w:line="254" w:lineRule="auto"/>
        <w:ind w:right="114"/>
      </w:pPr>
    </w:p>
    <w:p w14:paraId="5261104E" w14:textId="77777777" w:rsidR="001F3F35" w:rsidRDefault="001F3F35" w:rsidP="00EA512B">
      <w:pPr>
        <w:spacing w:after="120" w:line="252" w:lineRule="auto"/>
        <w:rPr>
          <w:b/>
          <w:sz w:val="28"/>
          <w:szCs w:val="28"/>
        </w:rPr>
      </w:pPr>
    </w:p>
    <w:p w14:paraId="7B44A5BB" w14:textId="3980D467" w:rsidR="00EA512B" w:rsidRPr="00EA512B" w:rsidRDefault="00EA512B" w:rsidP="00EA512B">
      <w:pPr>
        <w:spacing w:after="120" w:line="252" w:lineRule="auto"/>
        <w:rPr>
          <w:b/>
          <w:sz w:val="28"/>
          <w:szCs w:val="28"/>
        </w:rPr>
      </w:pPr>
      <w:r w:rsidRPr="00EA512B">
        <w:rPr>
          <w:b/>
          <w:sz w:val="28"/>
          <w:szCs w:val="28"/>
        </w:rPr>
        <w:lastRenderedPageBreak/>
        <w:t xml:space="preserve">Podporu nelze použít </w:t>
      </w:r>
      <w:proofErr w:type="gramStart"/>
      <w:r w:rsidRPr="00EA512B">
        <w:rPr>
          <w:b/>
          <w:sz w:val="28"/>
          <w:szCs w:val="28"/>
        </w:rPr>
        <w:t>na</w:t>
      </w:r>
      <w:proofErr w:type="gramEnd"/>
      <w:r w:rsidRPr="00EA512B">
        <w:rPr>
          <w:b/>
          <w:sz w:val="28"/>
          <w:szCs w:val="28"/>
        </w:rPr>
        <w:t xml:space="preserve"> (nezpůsobilé výdaje):</w:t>
      </w:r>
    </w:p>
    <w:p w14:paraId="7783E45D" w14:textId="45514303" w:rsidR="00EA512B" w:rsidRDefault="00EA512B" w:rsidP="00EA512B">
      <w:pPr>
        <w:pStyle w:val="Odstavecseseznamem"/>
        <w:numPr>
          <w:ilvl w:val="0"/>
          <w:numId w:val="27"/>
        </w:numPr>
        <w:tabs>
          <w:tab w:val="left" w:pos="538"/>
        </w:tabs>
        <w:spacing w:line="360" w:lineRule="auto"/>
        <w:ind w:right="114"/>
      </w:pPr>
      <w:proofErr w:type="gramStart"/>
      <w:r>
        <w:t>pořízení</w:t>
      </w:r>
      <w:proofErr w:type="gramEnd"/>
      <w:r>
        <w:t xml:space="preserve"> hmotného nebo nehmotného majetku nad rámec uvedený výše.</w:t>
      </w:r>
    </w:p>
    <w:p w14:paraId="5C01F075" w14:textId="5223FE90" w:rsidR="00EA512B" w:rsidRDefault="00EA512B" w:rsidP="00EA512B">
      <w:pPr>
        <w:pStyle w:val="Odstavecseseznamem"/>
        <w:numPr>
          <w:ilvl w:val="0"/>
          <w:numId w:val="27"/>
        </w:numPr>
        <w:tabs>
          <w:tab w:val="left" w:pos="538"/>
        </w:tabs>
        <w:spacing w:line="360" w:lineRule="auto"/>
        <w:ind w:right="114"/>
      </w:pPr>
      <w:proofErr w:type="gramStart"/>
      <w:r>
        <w:t>úroky</w:t>
      </w:r>
      <w:proofErr w:type="gramEnd"/>
      <w:r>
        <w:t>, penále, srážky a dalších finančních postihy, bankovní poplatky, náklady na vybaveni nad rámec limitů stanovených v odst. 3, 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využitiopce, doba leasing je sjednána na podstatnou část ekonomické životnosti aktiva nebo jsou naplněny další znaky finančního leasing</w:t>
      </w:r>
    </w:p>
    <w:p w14:paraId="0193ACF0" w14:textId="1CD2DA3C" w:rsidR="00EA512B" w:rsidRDefault="00AD1F22" w:rsidP="00EA512B">
      <w:pPr>
        <w:pStyle w:val="Odstavecseseznamem"/>
        <w:numPr>
          <w:ilvl w:val="0"/>
          <w:numId w:val="27"/>
        </w:numPr>
        <w:tabs>
          <w:tab w:val="left" w:pos="538"/>
        </w:tabs>
        <w:spacing w:line="360" w:lineRule="auto"/>
        <w:ind w:right="114"/>
      </w:pPr>
      <w:proofErr w:type="gramStart"/>
      <w:r>
        <w:t>cestovní</w:t>
      </w:r>
      <w:proofErr w:type="gramEnd"/>
      <w:r w:rsidR="00EA512B">
        <w:t xml:space="preserve"> náhrady nad rámec stanovený zákonem c. 262/2006 Sb, zákoník práce, ve zněni pozdějších předpisů; to se netýká cestovních nákladů spojených s účastí mezinárodních účastníků dle reglementu mezinárodní sportovní federace.</w:t>
      </w:r>
    </w:p>
    <w:p w14:paraId="195E16B5" w14:textId="77777777" w:rsidR="00EA512B" w:rsidRDefault="00EA512B" w:rsidP="00EA512B">
      <w:pPr>
        <w:pStyle w:val="Odstavecseseznamem"/>
        <w:numPr>
          <w:ilvl w:val="0"/>
          <w:numId w:val="27"/>
        </w:numPr>
        <w:tabs>
          <w:tab w:val="left" w:pos="538"/>
        </w:tabs>
        <w:spacing w:line="360" w:lineRule="auto"/>
        <w:ind w:right="114"/>
      </w:pPr>
      <w:r>
        <w:t>podnikatelskou činnost,</w:t>
      </w:r>
    </w:p>
    <w:p w14:paraId="0632D452" w14:textId="47485726" w:rsidR="00EA512B" w:rsidRDefault="00EA512B" w:rsidP="00EA512B">
      <w:pPr>
        <w:pStyle w:val="Odstavecseseznamem"/>
        <w:numPr>
          <w:ilvl w:val="0"/>
          <w:numId w:val="27"/>
        </w:numPr>
        <w:tabs>
          <w:tab w:val="left" w:pos="538"/>
        </w:tabs>
        <w:spacing w:line="360" w:lineRule="auto"/>
        <w:ind w:right="114"/>
      </w:pPr>
      <w:proofErr w:type="gramStart"/>
      <w:r>
        <w:t>pohoštění</w:t>
      </w:r>
      <w:proofErr w:type="gramEnd"/>
      <w:r>
        <w:t xml:space="preserve"> a dary.</w:t>
      </w:r>
    </w:p>
    <w:p w14:paraId="3C2C435B" w14:textId="77777777" w:rsidR="00FE22C7" w:rsidRDefault="00FE22C7" w:rsidP="00011261">
      <w:pPr>
        <w:spacing w:after="120" w:line="252" w:lineRule="auto"/>
        <w:rPr>
          <w:b/>
          <w:sz w:val="28"/>
          <w:szCs w:val="28"/>
        </w:rPr>
      </w:pPr>
    </w:p>
    <w:p w14:paraId="07A5ECBD" w14:textId="1EF46E6B" w:rsidR="00D67178" w:rsidRDefault="00F31FA5" w:rsidP="00011261">
      <w:pPr>
        <w:spacing w:after="12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Parametry </w:t>
      </w:r>
      <w:r w:rsidR="00192797">
        <w:rPr>
          <w:b/>
          <w:sz w:val="28"/>
          <w:szCs w:val="28"/>
        </w:rPr>
        <w:t>podpory</w:t>
      </w:r>
      <w:r w:rsidR="002D1B04">
        <w:rPr>
          <w:b/>
          <w:sz w:val="28"/>
          <w:szCs w:val="28"/>
        </w:rPr>
        <w:t xml:space="preserve"> </w:t>
      </w:r>
      <w:r w:rsidR="00D67178" w:rsidRPr="005F02B0">
        <w:rPr>
          <w:b/>
          <w:sz w:val="28"/>
          <w:szCs w:val="28"/>
        </w:rPr>
        <w:t xml:space="preserve">v oblasti mládeže </w:t>
      </w:r>
      <w:proofErr w:type="gramStart"/>
      <w:r w:rsidR="00D67178" w:rsidRPr="005F02B0">
        <w:rPr>
          <w:b/>
          <w:sz w:val="28"/>
          <w:szCs w:val="28"/>
        </w:rPr>
        <w:t>na</w:t>
      </w:r>
      <w:proofErr w:type="gramEnd"/>
      <w:r w:rsidR="00D67178" w:rsidRPr="005F02B0">
        <w:rPr>
          <w:b/>
          <w:sz w:val="28"/>
          <w:szCs w:val="28"/>
        </w:rPr>
        <w:t xml:space="preserve"> úrovni krajů pro rok </w:t>
      </w:r>
      <w:r w:rsidR="001A4D78">
        <w:rPr>
          <w:b/>
          <w:sz w:val="28"/>
          <w:szCs w:val="28"/>
        </w:rPr>
        <w:t>2019</w:t>
      </w:r>
    </w:p>
    <w:p w14:paraId="75032596" w14:textId="0FF9F655" w:rsidR="00FE22C7" w:rsidRDefault="00D67178" w:rsidP="00FE22C7">
      <w:pPr>
        <w:spacing w:line="360" w:lineRule="auto"/>
        <w:rPr>
          <w:rFonts w:cstheme="minorHAnsi"/>
        </w:rPr>
      </w:pPr>
      <w:r w:rsidRPr="007A24F5">
        <w:rPr>
          <w:rFonts w:cstheme="minorHAnsi"/>
        </w:rPr>
        <w:t xml:space="preserve">Uvedené parametry </w:t>
      </w:r>
      <w:r>
        <w:rPr>
          <w:rFonts w:cstheme="minorHAnsi"/>
        </w:rPr>
        <w:t xml:space="preserve">jsou platné pro rok </w:t>
      </w:r>
      <w:r w:rsidR="001A4D78">
        <w:rPr>
          <w:rFonts w:cstheme="minorHAnsi"/>
        </w:rPr>
        <w:t>2019</w:t>
      </w:r>
      <w:r>
        <w:rPr>
          <w:rFonts w:cstheme="minorHAnsi"/>
        </w:rPr>
        <w:t xml:space="preserve"> a </w:t>
      </w: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následující období budou aktualizovány</w:t>
      </w:r>
      <w:r w:rsidR="00F31FA5">
        <w:rPr>
          <w:rFonts w:cstheme="minorHAnsi"/>
        </w:rPr>
        <w:t>.</w:t>
      </w:r>
      <w:r w:rsidR="00FE22C7">
        <w:rPr>
          <w:rFonts w:cstheme="minorHAnsi"/>
        </w:rPr>
        <w:t xml:space="preserve"> </w:t>
      </w:r>
    </w:p>
    <w:p w14:paraId="0734842F" w14:textId="18FDCEA6" w:rsidR="00E93D08" w:rsidRDefault="00E93D08" w:rsidP="00E93D08">
      <w:pPr>
        <w:pStyle w:val="Odstavecseseznamem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 w:rsidRPr="00E93D08">
        <w:rPr>
          <w:rFonts w:cstheme="minorHAnsi"/>
        </w:rPr>
        <w:t xml:space="preserve">Podpora je zaměřen na rozvoj aktivit, které budou rozvíjet mládežnický volejbal s </w:t>
      </w:r>
      <w:r w:rsidRPr="001F3F35">
        <w:rPr>
          <w:rFonts w:cstheme="minorHAnsi"/>
        </w:rPr>
        <w:t>primárním zacílením na KCM</w:t>
      </w:r>
      <w:r w:rsidR="00346346" w:rsidRPr="001F3F35">
        <w:rPr>
          <w:rFonts w:cstheme="minorHAnsi"/>
        </w:rPr>
        <w:t xml:space="preserve">, </w:t>
      </w:r>
      <w:r w:rsidRPr="001F3F35">
        <w:rPr>
          <w:rFonts w:cstheme="minorHAnsi"/>
        </w:rPr>
        <w:t xml:space="preserve"> barevný minivolejbal </w:t>
      </w:r>
      <w:r w:rsidR="00346346" w:rsidRPr="001F3F35">
        <w:rPr>
          <w:rFonts w:cstheme="minorHAnsi"/>
        </w:rPr>
        <w:t xml:space="preserve">(BM) a na rozvoj volejbalových dovedností hráčů </w:t>
      </w:r>
    </w:p>
    <w:p w14:paraId="4AAFCAEF" w14:textId="04BFB5DA" w:rsidR="00E44DD5" w:rsidRDefault="00E44DD5" w:rsidP="00E93D08">
      <w:pPr>
        <w:pStyle w:val="Odstavecseseznamem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 w:rsidRPr="00E44DD5">
        <w:rPr>
          <w:rFonts w:cstheme="minorHAnsi"/>
        </w:rPr>
        <w:t>Příjemcem je pouze Krajský volejbalový svaz</w:t>
      </w:r>
    </w:p>
    <w:p w14:paraId="080D88B1" w14:textId="7C98489C" w:rsidR="00D67178" w:rsidRPr="00E44DD5" w:rsidRDefault="00D67178" w:rsidP="00E44DD5">
      <w:pPr>
        <w:pStyle w:val="Odstavecseseznamem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 w:rsidRPr="00E44DD5">
        <w:rPr>
          <w:rFonts w:cstheme="minorHAnsi"/>
        </w:rPr>
        <w:t>Alokováno je 1,5 mil Kč</w:t>
      </w:r>
      <w:r w:rsidR="00E44DD5">
        <w:rPr>
          <w:rFonts w:cstheme="minorHAnsi"/>
        </w:rPr>
        <w:t>, částka může být rozhodnutím SR navýšena</w:t>
      </w:r>
    </w:p>
    <w:p w14:paraId="76526070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2F7EC5F5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2D7D0BE4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313DF309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30A16581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3ABFD969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6D0458EC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5AD45663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1F02E929" w14:textId="77777777" w:rsidR="00E93D08" w:rsidRDefault="00E93D08" w:rsidP="00E93D08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2ED65893" w14:textId="77777777" w:rsidR="001337EB" w:rsidRDefault="001337EB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332C85B8" w14:textId="603DF646" w:rsidR="00C85847" w:rsidRPr="001337EB" w:rsidRDefault="001337EB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1337EB">
        <w:rPr>
          <w:rFonts w:cstheme="minorHAnsi"/>
          <w:b/>
          <w:u w:val="single"/>
        </w:rPr>
        <w:t xml:space="preserve">1. </w:t>
      </w:r>
      <w:r w:rsidR="002C19E4">
        <w:rPr>
          <w:rFonts w:cstheme="minorHAnsi"/>
          <w:b/>
          <w:u w:val="single"/>
        </w:rPr>
        <w:t>První část projektů</w:t>
      </w:r>
      <w:r w:rsidR="00C85847" w:rsidRPr="001337EB">
        <w:rPr>
          <w:rFonts w:cstheme="minorHAnsi"/>
        </w:rPr>
        <w:t xml:space="preserve"> - celková částka 1 500 000</w:t>
      </w:r>
      <w:proofErr w:type="gramStart"/>
      <w:r w:rsidR="00C85847" w:rsidRPr="001337EB">
        <w:rPr>
          <w:rFonts w:cstheme="minorHAnsi"/>
        </w:rPr>
        <w:t>,-</w:t>
      </w:r>
      <w:proofErr w:type="gramEnd"/>
      <w:r w:rsidR="001B0693">
        <w:rPr>
          <w:rFonts w:cstheme="minorHAnsi"/>
        </w:rPr>
        <w:t xml:space="preserve"> Kč</w:t>
      </w:r>
      <w:r>
        <w:rPr>
          <w:rFonts w:cstheme="minorHAnsi"/>
        </w:rPr>
        <w:t xml:space="preserve"> </w:t>
      </w:r>
      <w:r w:rsidR="00C85847" w:rsidRPr="001337EB">
        <w:rPr>
          <w:rFonts w:cstheme="minorHAnsi"/>
        </w:rPr>
        <w:t xml:space="preserve">je rozdělena na jednotlivé kraje dle členské základny mládeže, tzn. </w:t>
      </w:r>
      <w:proofErr w:type="gramStart"/>
      <w:r w:rsidR="00C85847" w:rsidRPr="001337EB">
        <w:rPr>
          <w:rFonts w:cstheme="minorHAnsi"/>
        </w:rPr>
        <w:t>velké</w:t>
      </w:r>
      <w:proofErr w:type="gramEnd"/>
      <w:r w:rsidR="00C85847" w:rsidRPr="001337EB">
        <w:rPr>
          <w:rFonts w:cstheme="minorHAnsi"/>
        </w:rPr>
        <w:t xml:space="preserve"> kraje budou mít alokovánu vetší částku na kraje než </w:t>
      </w:r>
      <w:r w:rsidR="00C85847" w:rsidRPr="00702A08">
        <w:rPr>
          <w:rFonts w:cstheme="minorHAnsi"/>
        </w:rPr>
        <w:t>malé</w:t>
      </w:r>
      <w:r w:rsidR="00CC0683" w:rsidRPr="00702A08">
        <w:rPr>
          <w:rFonts w:cstheme="minorHAnsi"/>
        </w:rPr>
        <w:t xml:space="preserve"> s </w:t>
      </w:r>
      <w:r w:rsidR="00CC0683" w:rsidRPr="003F28DF">
        <w:rPr>
          <w:rFonts w:cstheme="minorHAnsi"/>
        </w:rPr>
        <w:t xml:space="preserve">nastavením hranic min. částky na 50 tis a max. </w:t>
      </w:r>
      <w:proofErr w:type="gramStart"/>
      <w:r w:rsidR="00CC0683" w:rsidRPr="003F28DF">
        <w:rPr>
          <w:rFonts w:cstheme="minorHAnsi"/>
        </w:rPr>
        <w:t>částky</w:t>
      </w:r>
      <w:proofErr w:type="gramEnd"/>
      <w:r w:rsidR="00CC0683" w:rsidRPr="003F28DF">
        <w:rPr>
          <w:rFonts w:cstheme="minorHAnsi"/>
        </w:rPr>
        <w:t xml:space="preserve"> 300 tis na kraj</w:t>
      </w:r>
      <w:r w:rsidR="00C85847" w:rsidRPr="00702A08">
        <w:rPr>
          <w:rFonts w:cstheme="minorHAnsi"/>
        </w:rPr>
        <w:t>.</w:t>
      </w:r>
      <w:r w:rsidR="00C85847" w:rsidRPr="001337EB">
        <w:rPr>
          <w:rFonts w:cstheme="minorHAnsi"/>
        </w:rPr>
        <w:t xml:space="preserve">  Toto rozdělení respektuje stávající stav členské základny a předpoklad, že tam kde je vetší členská základna je předpoklad větších nákladů </w:t>
      </w:r>
      <w:proofErr w:type="gramStart"/>
      <w:r w:rsidR="00C85847" w:rsidRPr="001337EB">
        <w:rPr>
          <w:rFonts w:cstheme="minorHAnsi"/>
        </w:rPr>
        <w:t>na</w:t>
      </w:r>
      <w:proofErr w:type="gramEnd"/>
      <w:r w:rsidR="00C85847" w:rsidRPr="001337EB">
        <w:rPr>
          <w:rFonts w:cstheme="minorHAnsi"/>
        </w:rPr>
        <w:t xml:space="preserve"> projekty a naopak.  </w:t>
      </w:r>
    </w:p>
    <w:p w14:paraId="4E12C1A7" w14:textId="2DF52FC2" w:rsidR="00C85847" w:rsidRDefault="00C85847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C85847">
        <w:rPr>
          <w:rFonts w:cstheme="minorHAnsi"/>
        </w:rPr>
        <w:t xml:space="preserve">Dle údajů o členské základně </w:t>
      </w:r>
      <w:r w:rsidRPr="00DA0E0F">
        <w:rPr>
          <w:rFonts w:cstheme="minorHAnsi"/>
        </w:rPr>
        <w:t>k </w:t>
      </w:r>
      <w:r w:rsidRPr="00DA03C1">
        <w:rPr>
          <w:rFonts w:cstheme="minorHAnsi"/>
        </w:rPr>
        <w:t>30.</w:t>
      </w:r>
      <w:r w:rsidR="00275FF1" w:rsidRPr="00DA03C1">
        <w:rPr>
          <w:rFonts w:cstheme="minorHAnsi"/>
        </w:rPr>
        <w:t>4</w:t>
      </w:r>
      <w:r w:rsidRPr="00DA03C1">
        <w:rPr>
          <w:rFonts w:cstheme="minorHAnsi"/>
        </w:rPr>
        <w:t>.</w:t>
      </w:r>
      <w:r w:rsidR="001A4D78" w:rsidRPr="00DA03C1">
        <w:rPr>
          <w:rFonts w:cstheme="minorHAnsi"/>
        </w:rPr>
        <w:t>2019</w:t>
      </w:r>
      <w:r w:rsidRPr="00DA0E0F">
        <w:rPr>
          <w:rFonts w:cstheme="minorHAnsi"/>
        </w:rPr>
        <w:t xml:space="preserve"> v</w:t>
      </w:r>
      <w:r w:rsidRPr="00C85847">
        <w:rPr>
          <w:rFonts w:cstheme="minorHAnsi"/>
        </w:rPr>
        <w:t>ychází rozdělení takto:</w:t>
      </w:r>
    </w:p>
    <w:p w14:paraId="437221B8" w14:textId="2B619B83" w:rsidR="00CC0683" w:rsidRDefault="00CC0683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CC0683">
        <w:rPr>
          <w:noProof/>
          <w:lang w:val="cs-CZ" w:eastAsia="cs-CZ"/>
        </w:rPr>
        <w:drawing>
          <wp:inline distT="0" distB="0" distL="0" distR="0" wp14:anchorId="2B4A123B" wp14:editId="7A8E7914">
            <wp:extent cx="4127500" cy="3553847"/>
            <wp:effectExtent l="0" t="0" r="635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66" cy="35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B665" w14:textId="77777777" w:rsidR="00C61C69" w:rsidRDefault="00C61C69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574296BC" w14:textId="635E5AE3" w:rsidR="00C61C69" w:rsidRDefault="00C61C69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cstheme="minorHAnsi"/>
        </w:rPr>
        <w:t>V</w:t>
      </w:r>
      <w:r w:rsidR="00434607">
        <w:rPr>
          <w:rFonts w:cstheme="minorHAnsi"/>
        </w:rPr>
        <w:t xml:space="preserve"> roce 2019 je možno žádat </w:t>
      </w:r>
      <w:proofErr w:type="gramStart"/>
      <w:r w:rsidR="00434607">
        <w:rPr>
          <w:rFonts w:cstheme="minorHAnsi"/>
        </w:rPr>
        <w:t>na</w:t>
      </w:r>
      <w:proofErr w:type="gramEnd"/>
      <w:r w:rsidR="00434607">
        <w:rPr>
          <w:rFonts w:cstheme="minorHAnsi"/>
        </w:rPr>
        <w:t xml:space="preserve"> tři</w:t>
      </w:r>
      <w:r>
        <w:rPr>
          <w:rFonts w:cstheme="minorHAnsi"/>
        </w:rPr>
        <w:t xml:space="preserve"> typy projektů:</w:t>
      </w:r>
    </w:p>
    <w:p w14:paraId="6C432FE1" w14:textId="24C3C135" w:rsidR="00C61C69" w:rsidRPr="00A43927" w:rsidRDefault="00C61C69" w:rsidP="00A43927">
      <w:pPr>
        <w:pStyle w:val="Nadpis1"/>
        <w:rPr>
          <w:b w:val="0"/>
          <w:bCs w:val="0"/>
        </w:rPr>
      </w:pPr>
      <w:r w:rsidRPr="00A43927">
        <w:rPr>
          <w:rFonts w:ascii="Arial" w:hAnsi="Arial" w:cs="Arial"/>
        </w:rPr>
        <w:t>1. Barevný minivolejbal (BM)</w:t>
      </w:r>
    </w:p>
    <w:p w14:paraId="1EE31CEE" w14:textId="6890BE5A" w:rsidR="00C61C69" w:rsidRDefault="00C61C69" w:rsidP="00A43927">
      <w:pPr>
        <w:pStyle w:val="Nadpis1"/>
        <w:rPr>
          <w:rFonts w:ascii="Arial" w:hAnsi="Arial" w:cs="Arial"/>
        </w:rPr>
      </w:pPr>
      <w:r w:rsidRPr="00A43927">
        <w:rPr>
          <w:rFonts w:ascii="Arial" w:hAnsi="Arial" w:cs="Arial"/>
        </w:rPr>
        <w:t>2. Krajská centra mládeže (dále jen KCM)</w:t>
      </w:r>
    </w:p>
    <w:p w14:paraId="1ECC6AF5" w14:textId="53C03B60" w:rsidR="00C66597" w:rsidRPr="00C66597" w:rsidRDefault="00C66597" w:rsidP="00A43927">
      <w:pPr>
        <w:pStyle w:val="Nadpis1"/>
        <w:rPr>
          <w:rFonts w:cs="Arial"/>
          <w:color w:val="FF0000"/>
        </w:rPr>
      </w:pPr>
      <w:r w:rsidRPr="001F3F35">
        <w:rPr>
          <w:rFonts w:ascii="Arial" w:hAnsi="Arial" w:cs="Arial"/>
        </w:rPr>
        <w:t>3.</w:t>
      </w:r>
      <w:r>
        <w:rPr>
          <w:rFonts w:ascii="Arial" w:hAnsi="Arial" w:cs="Arial"/>
          <w:color w:val="FF0000"/>
        </w:rPr>
        <w:t xml:space="preserve"> </w:t>
      </w:r>
      <w:r w:rsidRPr="001F3F35">
        <w:rPr>
          <w:rFonts w:ascii="Arial" w:hAnsi="Arial" w:cs="Arial"/>
        </w:rPr>
        <w:t>Dovednostní kempy talentované mládeže</w:t>
      </w:r>
      <w:r w:rsidR="007509AA" w:rsidRPr="001F3F35">
        <w:rPr>
          <w:rFonts w:ascii="Arial" w:hAnsi="Arial" w:cs="Arial"/>
        </w:rPr>
        <w:t xml:space="preserve"> (DK)</w:t>
      </w:r>
    </w:p>
    <w:p w14:paraId="05611E70" w14:textId="77777777" w:rsidR="001337EB" w:rsidRDefault="001337EB" w:rsidP="001337E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</w:p>
    <w:p w14:paraId="79D3C428" w14:textId="5654F02D" w:rsidR="003E7AED" w:rsidRPr="00A43927" w:rsidRDefault="00C61C69" w:rsidP="00A43927">
      <w:pPr>
        <w:pStyle w:val="Nadpis1"/>
        <w:numPr>
          <w:ilvl w:val="2"/>
          <w:numId w:val="25"/>
        </w:numPr>
        <w:spacing w:after="120"/>
        <w:ind w:left="924" w:hanging="357"/>
      </w:pPr>
      <w:r w:rsidRPr="00A43927">
        <w:rPr>
          <w:rFonts w:ascii="Arial" w:hAnsi="Arial" w:cs="Arial"/>
        </w:rPr>
        <w:t>Barevný minivolejbal (BM)</w:t>
      </w:r>
      <w:r w:rsidR="003E7AED" w:rsidRPr="00A43927">
        <w:rPr>
          <w:rFonts w:ascii="Arial" w:hAnsi="Arial" w:cs="Arial"/>
        </w:rPr>
        <w:t xml:space="preserve"> </w:t>
      </w:r>
    </w:p>
    <w:p w14:paraId="1EC03A41" w14:textId="7E3202AA" w:rsidR="00C61C69" w:rsidRPr="00A43927" w:rsidRDefault="003E7AED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cstheme="minorHAnsi"/>
        </w:rPr>
        <w:t>V</w:t>
      </w:r>
      <w:r w:rsidR="00C61C69" w:rsidRPr="00A43927">
        <w:rPr>
          <w:rFonts w:cstheme="minorHAnsi"/>
        </w:rPr>
        <w:t>ěková kategorie 6 až 12 let Barevný minivolejbal je prvním stupněm k výběru talentovaných dítě, kteří mají zájem a pohybové nadání pro míčové hry. Všechny finálové turnaje na úrovni krajů i ČVS (oblastní a finálový festival) jsou zároveň výběrovými turnaji pro zařazení do „Školy volejbalu ČVS</w:t>
      </w:r>
      <w:proofErr w:type="gramStart"/>
      <w:r w:rsidR="00C61C69" w:rsidRPr="003E7AED">
        <w:rPr>
          <w:rFonts w:cstheme="minorHAnsi"/>
        </w:rPr>
        <w:t>“ (</w:t>
      </w:r>
      <w:proofErr w:type="gramEnd"/>
      <w:r w:rsidR="00C61C69" w:rsidRPr="003E7AED">
        <w:rPr>
          <w:rFonts w:cstheme="minorHAnsi"/>
        </w:rPr>
        <w:t>kategorie „Benjamínci“ a „Naděje“). Organizace BM řízených KVS během jednoho soutěžního období (od 1.7. do 30.6. následujícího roku</w:t>
      </w:r>
      <w:proofErr w:type="gramStart"/>
      <w:r w:rsidR="00C61C69" w:rsidRPr="003E7AED">
        <w:rPr>
          <w:rFonts w:cstheme="minorHAnsi"/>
        </w:rPr>
        <w:t xml:space="preserve">) </w:t>
      </w:r>
      <w:r>
        <w:rPr>
          <w:rFonts w:cstheme="minorHAnsi"/>
        </w:rPr>
        <w:t>:</w:t>
      </w:r>
      <w:proofErr w:type="gramEnd"/>
    </w:p>
    <w:p w14:paraId="4F8788C8" w14:textId="77777777" w:rsidR="00C61C69" w:rsidRPr="00A43927" w:rsidRDefault="00C61C69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cstheme="minorHAnsi"/>
        </w:rPr>
        <w:lastRenderedPageBreak/>
        <w:t>Každý kraj organizuje celkem 4 turnaje za soutěžní sezónu</w:t>
      </w:r>
    </w:p>
    <w:p w14:paraId="1D975133" w14:textId="77777777" w:rsidR="00C61C69" w:rsidRPr="00A43927" w:rsidRDefault="00C61C69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cstheme="minorHAnsi"/>
        </w:rPr>
        <w:t>Každý kraj organizuje 3 náborové jednodenní turnaje vždy pro 1 až 3 barvy</w:t>
      </w:r>
    </w:p>
    <w:p w14:paraId="5112E49F" w14:textId="77777777" w:rsidR="00C61C69" w:rsidRPr="00A43927" w:rsidRDefault="00C61C69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cstheme="minorHAnsi"/>
        </w:rPr>
        <w:t>Každý kraj organizuje finálový turnaj jako vyvrcholení pro všechny barvy</w:t>
      </w:r>
    </w:p>
    <w:p w14:paraId="5CD99275" w14:textId="77777777" w:rsidR="00C61C69" w:rsidRPr="00A43927" w:rsidRDefault="00C61C69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cstheme="minorHAnsi"/>
        </w:rPr>
        <w:t>Turnaje jsou smíšené (dívky i chlapci – dodrženo genderové hledisko)</w:t>
      </w:r>
    </w:p>
    <w:p w14:paraId="21D48585" w14:textId="77777777" w:rsidR="00C61C69" w:rsidRPr="00A43927" w:rsidRDefault="00C61C69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cstheme="minorHAnsi"/>
        </w:rPr>
        <w:t>Turnajů se zúčastní vždy 100 až 200 účastníků</w:t>
      </w:r>
    </w:p>
    <w:p w14:paraId="27159771" w14:textId="351C5A97" w:rsidR="002F0E9B" w:rsidRDefault="00C61C69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cstheme="minorHAnsi"/>
        </w:rPr>
        <w:t xml:space="preserve">Finálový turnaj slouží jako výběrový </w:t>
      </w:r>
      <w:proofErr w:type="gramStart"/>
      <w:r w:rsidRPr="00A43927">
        <w:rPr>
          <w:rFonts w:cstheme="minorHAnsi"/>
        </w:rPr>
        <w:t>na</w:t>
      </w:r>
      <w:proofErr w:type="gramEnd"/>
      <w:r w:rsidRPr="00A43927">
        <w:rPr>
          <w:rFonts w:cstheme="minorHAnsi"/>
        </w:rPr>
        <w:t xml:space="preserve"> oblastní kola a celostátní, organizovaná ČVS. </w:t>
      </w:r>
    </w:p>
    <w:p w14:paraId="7374EA8A" w14:textId="25225B54" w:rsidR="003E7AED" w:rsidRDefault="0017181A" w:rsidP="00A43927">
      <w:pPr>
        <w:pStyle w:val="Nadpis2"/>
        <w:numPr>
          <w:ilvl w:val="1"/>
          <w:numId w:val="37"/>
        </w:numPr>
        <w:spacing w:after="120"/>
        <w:ind w:left="970" w:hanging="403"/>
      </w:pPr>
      <w:r>
        <w:t xml:space="preserve">Požadavky ČVS </w:t>
      </w:r>
      <w:proofErr w:type="gramStart"/>
      <w:r>
        <w:t>na</w:t>
      </w:r>
      <w:proofErr w:type="gramEnd"/>
      <w:r w:rsidR="003E7AED">
        <w:t xml:space="preserve"> BM</w:t>
      </w:r>
    </w:p>
    <w:p w14:paraId="0B4F8FE1" w14:textId="7C866280" w:rsidR="003E7AED" w:rsidRDefault="003E7AED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cstheme="minorHAnsi"/>
        </w:rPr>
        <w:t>Z</w:t>
      </w:r>
      <w:r w:rsidRPr="00A43927">
        <w:rPr>
          <w:rFonts w:cstheme="minorHAnsi"/>
        </w:rPr>
        <w:t>ískání informací o dovednostech a somatotypech - sběr informací pro z</w:t>
      </w:r>
      <w:r>
        <w:rPr>
          <w:rFonts w:cstheme="minorHAnsi"/>
        </w:rPr>
        <w:t xml:space="preserve">ařazení do SpS, KCM, benjamínků. </w:t>
      </w:r>
    </w:p>
    <w:p w14:paraId="05301A56" w14:textId="17EA17DE" w:rsidR="00C461A1" w:rsidRDefault="00C461A1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Zapojení co nejširšího </w:t>
      </w:r>
      <w:proofErr w:type="gramStart"/>
      <w:r>
        <w:rPr>
          <w:rFonts w:cstheme="minorHAnsi"/>
        </w:rPr>
        <w:t>portfolia  hráčů</w:t>
      </w:r>
      <w:proofErr w:type="gramEnd"/>
    </w:p>
    <w:p w14:paraId="0AA26AA8" w14:textId="6B443AE4" w:rsidR="00C461A1" w:rsidRDefault="00C461A1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Propagace volejbalu na školách </w:t>
      </w:r>
      <w:proofErr w:type="gramStart"/>
      <w:r>
        <w:rPr>
          <w:rFonts w:cstheme="minorHAnsi"/>
        </w:rPr>
        <w:t>( účast</w:t>
      </w:r>
      <w:proofErr w:type="gramEnd"/>
      <w:r>
        <w:rPr>
          <w:rFonts w:cstheme="minorHAnsi"/>
        </w:rPr>
        <w:t xml:space="preserve"> školních družstev)</w:t>
      </w:r>
    </w:p>
    <w:p w14:paraId="01649C4F" w14:textId="57BDFCD6" w:rsidR="002F0E9B" w:rsidRPr="00A43927" w:rsidRDefault="003E7AED" w:rsidP="00A43927">
      <w:pPr>
        <w:pStyle w:val="Nadpis2"/>
        <w:numPr>
          <w:ilvl w:val="1"/>
          <w:numId w:val="37"/>
        </w:numPr>
        <w:spacing w:after="120"/>
        <w:ind w:left="970" w:hanging="403"/>
      </w:pPr>
      <w:r w:rsidRPr="00A43927">
        <w:t>Výstupy z projektu BM</w:t>
      </w:r>
    </w:p>
    <w:p w14:paraId="4536B6E7" w14:textId="56E57A69" w:rsidR="003E7AED" w:rsidRDefault="003E7AED" w:rsidP="00A43927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Výstupem z projektu BM by měla být Souhrnná zpráva obsahující: </w:t>
      </w:r>
    </w:p>
    <w:p w14:paraId="18D5A346" w14:textId="2A81D719" w:rsidR="003E7AED" w:rsidRPr="00A43927" w:rsidRDefault="003E7AED" w:rsidP="00A43927">
      <w:pPr>
        <w:pStyle w:val="Odstavecseseznamem"/>
        <w:widowControl/>
        <w:numPr>
          <w:ilvl w:val="0"/>
          <w:numId w:val="38"/>
        </w:numPr>
        <w:autoSpaceDE/>
        <w:autoSpaceDN/>
        <w:spacing w:after="200" w:line="360" w:lineRule="auto"/>
        <w:contextualSpacing/>
        <w:rPr>
          <w:rFonts w:cstheme="minorHAnsi"/>
        </w:rPr>
      </w:pPr>
      <w:r w:rsidRPr="00A43927">
        <w:rPr>
          <w:rFonts w:eastAsia="Times New Roman"/>
        </w:rPr>
        <w:t>údaje o dětech, mládeži, kteří do projektu byli zahrnuty</w:t>
      </w:r>
    </w:p>
    <w:p w14:paraId="2395F1A8" w14:textId="77777777" w:rsidR="003E7AED" w:rsidRPr="003E7AED" w:rsidRDefault="003E7AED" w:rsidP="003E7AED">
      <w:pPr>
        <w:pStyle w:val="Odstavecseseznamem"/>
        <w:numPr>
          <w:ilvl w:val="0"/>
          <w:numId w:val="38"/>
        </w:numPr>
        <w:rPr>
          <w:rFonts w:eastAsia="Times New Roman"/>
        </w:rPr>
      </w:pPr>
      <w:r w:rsidRPr="003E7AED">
        <w:rPr>
          <w:rFonts w:eastAsia="Times New Roman"/>
        </w:rPr>
        <w:t>informace a doporučení zda zařadit mládež, konkrétní děti do dalších úrovní "školy volejbalu" - naděje, benjaminci, lvíčata nebo zařazení a doporučení k přestupu do SpS, SCM</w:t>
      </w:r>
    </w:p>
    <w:p w14:paraId="03AD913C" w14:textId="1D789E77" w:rsidR="00C61C69" w:rsidRPr="00A43927" w:rsidRDefault="002F0E9B" w:rsidP="00A43927">
      <w:pPr>
        <w:pStyle w:val="Odstavecseseznamem"/>
        <w:widowControl/>
        <w:numPr>
          <w:ilvl w:val="0"/>
          <w:numId w:val="38"/>
        </w:numPr>
        <w:autoSpaceDE/>
        <w:autoSpaceDN/>
        <w:spacing w:after="200" w:line="360" w:lineRule="auto"/>
        <w:contextualSpacing/>
        <w:rPr>
          <w:rFonts w:cstheme="minorHAnsi"/>
        </w:rPr>
      </w:pPr>
      <w:r>
        <w:rPr>
          <w:rFonts w:eastAsia="Times New Roman"/>
        </w:rPr>
        <w:t>informace</w:t>
      </w:r>
      <w:r w:rsidR="003E7AED">
        <w:rPr>
          <w:rFonts w:eastAsia="Times New Roman"/>
        </w:rPr>
        <w:t xml:space="preserve"> o dovednostech a somatotypech pro zařazení do SpS, KCM, benjamínků,</w:t>
      </w:r>
    </w:p>
    <w:p w14:paraId="3763ED6F" w14:textId="77777777" w:rsidR="000B115C" w:rsidRPr="00A43927" w:rsidRDefault="000B115C" w:rsidP="00A43927">
      <w:pPr>
        <w:pStyle w:val="Odstavecseseznamem"/>
        <w:widowControl/>
        <w:autoSpaceDE/>
        <w:autoSpaceDN/>
        <w:spacing w:after="200" w:line="360" w:lineRule="auto"/>
        <w:ind w:left="720" w:firstLine="0"/>
        <w:contextualSpacing/>
        <w:rPr>
          <w:rFonts w:cstheme="minorHAnsi"/>
        </w:rPr>
      </w:pPr>
    </w:p>
    <w:p w14:paraId="05D6319C" w14:textId="77EE51BE" w:rsidR="002F0E9B" w:rsidRPr="00A43927" w:rsidRDefault="00C61C69" w:rsidP="00A43927">
      <w:pPr>
        <w:pStyle w:val="Nadpis1"/>
        <w:numPr>
          <w:ilvl w:val="2"/>
          <w:numId w:val="25"/>
        </w:numPr>
        <w:spacing w:after="120"/>
        <w:ind w:left="924" w:hanging="357"/>
        <w:rPr>
          <w:rFonts w:cs="Arial"/>
        </w:rPr>
      </w:pPr>
      <w:r w:rsidRPr="00A43927">
        <w:rPr>
          <w:rFonts w:ascii="Arial" w:hAnsi="Arial" w:cs="Arial"/>
        </w:rPr>
        <w:t xml:space="preserve">Krajská centra mládeže (dále jen KCM):  </w:t>
      </w:r>
    </w:p>
    <w:p w14:paraId="34A95D86" w14:textId="78A1533F" w:rsidR="00C61C69" w:rsidRDefault="002F0E9B" w:rsidP="00A43927">
      <w:pPr>
        <w:spacing w:line="360" w:lineRule="auto"/>
        <w:rPr>
          <w:rFonts w:cstheme="minorHAnsi"/>
        </w:rPr>
      </w:pPr>
      <w:r>
        <w:rPr>
          <w:rFonts w:cstheme="minorHAnsi"/>
        </w:rPr>
        <w:t>J</w:t>
      </w:r>
      <w:r w:rsidR="00C61C69" w:rsidRPr="003E7AED">
        <w:rPr>
          <w:rFonts w:cstheme="minorHAnsi"/>
        </w:rPr>
        <w:t xml:space="preserve">sou součástí systému přípravy talentované mládeže </w:t>
      </w:r>
      <w:proofErr w:type="gramStart"/>
      <w:r w:rsidR="00C61C69" w:rsidRPr="003E7AED">
        <w:rPr>
          <w:rFonts w:cstheme="minorHAnsi"/>
        </w:rPr>
        <w:t>na</w:t>
      </w:r>
      <w:proofErr w:type="gramEnd"/>
      <w:r w:rsidR="00C61C69" w:rsidRPr="003E7AED">
        <w:rPr>
          <w:rFonts w:cstheme="minorHAnsi"/>
        </w:rPr>
        <w:t xml:space="preserve"> úrovni oddílů a krajů pro věkovou kategorii 12 až 14 let. KCM jsou současně výběrem tal</w:t>
      </w:r>
      <w:r w:rsidR="00C61C69" w:rsidRPr="00A43927">
        <w:rPr>
          <w:rFonts w:cstheme="minorHAnsi"/>
        </w:rPr>
        <w:t>entované mládeže pro „Školu volejbalu ČVS</w:t>
      </w:r>
      <w:proofErr w:type="gramStart"/>
      <w:r w:rsidR="00C61C69" w:rsidRPr="00A43927">
        <w:rPr>
          <w:rFonts w:cstheme="minorHAnsi"/>
        </w:rPr>
        <w:t>“ pro</w:t>
      </w:r>
      <w:proofErr w:type="gramEnd"/>
      <w:r w:rsidR="00C61C69" w:rsidRPr="00A43927">
        <w:rPr>
          <w:rFonts w:cstheme="minorHAnsi"/>
        </w:rPr>
        <w:t xml:space="preserve"> kategorii „Lvíčata“</w:t>
      </w:r>
      <w:r w:rsidR="00C61C69">
        <w:rPr>
          <w:rFonts w:cstheme="minorHAnsi"/>
        </w:rPr>
        <w:t xml:space="preserve">. </w:t>
      </w:r>
      <w:r w:rsidR="00C61C69" w:rsidRPr="003E7AED">
        <w:rPr>
          <w:rFonts w:cstheme="minorHAnsi"/>
        </w:rPr>
        <w:t xml:space="preserve"> </w:t>
      </w:r>
    </w:p>
    <w:p w14:paraId="4E52A306" w14:textId="1BCC1BD7" w:rsidR="002F0E9B" w:rsidRPr="001F3F35" w:rsidRDefault="00346346" w:rsidP="001F3F35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656AA75" w14:textId="22D9E5BD" w:rsidR="002F0E9B" w:rsidRDefault="00FC444B" w:rsidP="00A43927">
      <w:pPr>
        <w:pStyle w:val="Nadpis2"/>
        <w:numPr>
          <w:ilvl w:val="1"/>
          <w:numId w:val="43"/>
        </w:numPr>
        <w:spacing w:after="120"/>
      </w:pPr>
      <w:r>
        <w:t xml:space="preserve"> </w:t>
      </w:r>
      <w:r w:rsidR="002F0E9B">
        <w:t xml:space="preserve">Požadavky ČVS </w:t>
      </w:r>
      <w:proofErr w:type="gramStart"/>
      <w:r w:rsidR="0017181A">
        <w:t>na</w:t>
      </w:r>
      <w:proofErr w:type="gramEnd"/>
      <w:r w:rsidR="002F0E9B">
        <w:t xml:space="preserve"> KCM</w:t>
      </w:r>
    </w:p>
    <w:p w14:paraId="3F429785" w14:textId="361EBB7C" w:rsidR="002F0E9B" w:rsidRPr="001F3F35" w:rsidRDefault="002F0E9B" w:rsidP="00A43927">
      <w:pPr>
        <w:spacing w:line="360" w:lineRule="auto"/>
        <w:rPr>
          <w:rFonts w:eastAsia="Times New Roman"/>
        </w:rPr>
      </w:pPr>
      <w:r w:rsidRPr="00A43927">
        <w:rPr>
          <w:rFonts w:cstheme="minorHAnsi"/>
        </w:rPr>
        <w:t xml:space="preserve">VT KCM a </w:t>
      </w:r>
      <w:r w:rsidRPr="001F3F35">
        <w:rPr>
          <w:rFonts w:cstheme="minorHAnsi"/>
        </w:rPr>
        <w:t xml:space="preserve">jejich zaměření </w:t>
      </w:r>
      <w:proofErr w:type="gramStart"/>
      <w:r w:rsidRPr="001F3F35">
        <w:rPr>
          <w:rFonts w:cstheme="minorHAnsi"/>
        </w:rPr>
        <w:t>do</w:t>
      </w:r>
      <w:proofErr w:type="gramEnd"/>
      <w:r w:rsidRPr="001F3F35">
        <w:rPr>
          <w:rFonts w:cstheme="minorHAnsi"/>
        </w:rPr>
        <w:t xml:space="preserve"> herních činností a testování talentované mládeže KCM včetně</w:t>
      </w:r>
      <w:r w:rsidRPr="001F3F35">
        <w:rPr>
          <w:rFonts w:eastAsia="Times New Roman"/>
        </w:rPr>
        <w:t xml:space="preserve"> biosomatiky. M</w:t>
      </w:r>
      <w:r w:rsidR="000B115C" w:rsidRPr="001F3F35">
        <w:rPr>
          <w:rFonts w:eastAsia="Times New Roman"/>
        </w:rPr>
        <w:t xml:space="preserve">ezikrajské srovnávací </w:t>
      </w:r>
      <w:proofErr w:type="gramStart"/>
      <w:r w:rsidR="00346346" w:rsidRPr="001F3F35">
        <w:rPr>
          <w:rFonts w:eastAsia="Times New Roman"/>
        </w:rPr>
        <w:t>turnaje ,</w:t>
      </w:r>
      <w:proofErr w:type="gramEnd"/>
      <w:r w:rsidR="00346346" w:rsidRPr="001F3F35">
        <w:rPr>
          <w:rFonts w:eastAsia="Times New Roman"/>
        </w:rPr>
        <w:t xml:space="preserve"> které se pořádají jednou ročně jsou spojené s testováním</w:t>
      </w:r>
      <w:r w:rsidR="000B115C" w:rsidRPr="001F3F35">
        <w:rPr>
          <w:rFonts w:eastAsia="Times New Roman"/>
        </w:rPr>
        <w:t xml:space="preserve">. </w:t>
      </w:r>
      <w:proofErr w:type="gramStart"/>
      <w:r w:rsidR="00346346" w:rsidRPr="001F3F35">
        <w:rPr>
          <w:rFonts w:eastAsia="Times New Roman"/>
        </w:rPr>
        <w:t>Garantem testování je účast Úseku mládeže a testovací baterie je kompatibilní s testováním SpS a SCM.</w:t>
      </w:r>
      <w:proofErr w:type="gramEnd"/>
      <w:r w:rsidR="00346346" w:rsidRPr="001F3F35">
        <w:rPr>
          <w:rFonts w:eastAsia="Times New Roman"/>
        </w:rPr>
        <w:t xml:space="preserve"> Činnost KCM je primárně zaměřena na tréninkovou </w:t>
      </w:r>
      <w:proofErr w:type="gramStart"/>
      <w:r w:rsidR="00346346" w:rsidRPr="001F3F35">
        <w:rPr>
          <w:rFonts w:eastAsia="Times New Roman"/>
        </w:rPr>
        <w:t>činnost  na</w:t>
      </w:r>
      <w:proofErr w:type="gramEnd"/>
      <w:r w:rsidR="00346346" w:rsidRPr="001F3F35">
        <w:rPr>
          <w:rFonts w:eastAsia="Times New Roman"/>
        </w:rPr>
        <w:t xml:space="preserve"> přípravu na závěrečný mezikrajový turnaj. Do činnosti KCM se zapojuje co nejširší množství hráčů daných ročníků, s tím, že důraz je kladen tréninkovou činnost a vyhodnocování dovednostní úrovně hráčů. </w:t>
      </w:r>
      <w:proofErr w:type="gramStart"/>
      <w:r w:rsidR="000B115C" w:rsidRPr="001F3F35">
        <w:rPr>
          <w:rFonts w:eastAsia="Times New Roman"/>
        </w:rPr>
        <w:t>T</w:t>
      </w:r>
      <w:r w:rsidRPr="001F3F35">
        <w:rPr>
          <w:rFonts w:eastAsia="Times New Roman"/>
        </w:rPr>
        <w:t>urnaje spojené s testováním, za účasti Úseku mládeže ČVS.</w:t>
      </w:r>
      <w:proofErr w:type="gramEnd"/>
      <w:r w:rsidRPr="001F3F35">
        <w:rPr>
          <w:rFonts w:eastAsia="Times New Roman"/>
        </w:rPr>
        <w:t xml:space="preserve"> </w:t>
      </w:r>
      <w:proofErr w:type="gramStart"/>
      <w:r w:rsidRPr="001F3F35">
        <w:rPr>
          <w:rFonts w:eastAsia="Times New Roman"/>
        </w:rPr>
        <w:t xml:space="preserve">Série vzorových tréninkovýc procesů pro kluby mládeže v regionu - účast hráčů/ček </w:t>
      </w:r>
      <w:r w:rsidRPr="001F3F35">
        <w:rPr>
          <w:rFonts w:eastAsia="Times New Roman"/>
        </w:rPr>
        <w:lastRenderedPageBreak/>
        <w:t>jednotlivých klubů pod vedením trenérů mládeže ČVS.</w:t>
      </w:r>
      <w:proofErr w:type="gramEnd"/>
    </w:p>
    <w:p w14:paraId="23966479" w14:textId="77777777" w:rsidR="002F0E9B" w:rsidRPr="001F3F35" w:rsidRDefault="002F0E9B" w:rsidP="00A43927">
      <w:pPr>
        <w:spacing w:line="360" w:lineRule="auto"/>
        <w:rPr>
          <w:rFonts w:eastAsia="Times New Roman"/>
        </w:rPr>
      </w:pPr>
    </w:p>
    <w:p w14:paraId="148605E1" w14:textId="38B475D1" w:rsidR="002F0E9B" w:rsidRPr="001F3F35" w:rsidRDefault="00FC444B" w:rsidP="00A43927">
      <w:pPr>
        <w:pStyle w:val="Nadpis2"/>
        <w:numPr>
          <w:ilvl w:val="1"/>
          <w:numId w:val="43"/>
        </w:numPr>
        <w:spacing w:after="120"/>
      </w:pPr>
      <w:r w:rsidRPr="001F3F35">
        <w:t xml:space="preserve"> </w:t>
      </w:r>
      <w:r w:rsidR="000B115C" w:rsidRPr="001F3F35">
        <w:t>Výstupy z projektu KCM</w:t>
      </w:r>
    </w:p>
    <w:p w14:paraId="749C3DB6" w14:textId="0B4F4311" w:rsidR="002F0E9B" w:rsidRPr="001F3F35" w:rsidRDefault="002F0E9B" w:rsidP="002F0E9B">
      <w:pPr>
        <w:widowControl/>
        <w:autoSpaceDE/>
        <w:autoSpaceDN/>
        <w:spacing w:after="200" w:line="360" w:lineRule="auto"/>
        <w:contextualSpacing/>
        <w:rPr>
          <w:rFonts w:cstheme="minorHAnsi"/>
        </w:rPr>
      </w:pPr>
      <w:r w:rsidRPr="001F3F35">
        <w:rPr>
          <w:rFonts w:cstheme="minorHAnsi"/>
        </w:rPr>
        <w:t xml:space="preserve">Výstupem z </w:t>
      </w:r>
      <w:r w:rsidR="000B115C" w:rsidRPr="001F3F35">
        <w:rPr>
          <w:rFonts w:cstheme="minorHAnsi"/>
        </w:rPr>
        <w:t>projektu KCM</w:t>
      </w:r>
      <w:r w:rsidRPr="001F3F35">
        <w:rPr>
          <w:rFonts w:cstheme="minorHAnsi"/>
        </w:rPr>
        <w:t xml:space="preserve"> by měla být Souhrnná zpráva obsahující: </w:t>
      </w:r>
    </w:p>
    <w:p w14:paraId="6EFBBE44" w14:textId="77777777" w:rsidR="000B115C" w:rsidRPr="001F3F35" w:rsidRDefault="000B115C" w:rsidP="00A43927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dovednosti, slabé a silné stránky jednotlivých účastníků projektu</w:t>
      </w:r>
    </w:p>
    <w:p w14:paraId="3FA26733" w14:textId="77777777" w:rsidR="000B115C" w:rsidRPr="001F3F35" w:rsidRDefault="000B115C" w:rsidP="00A43927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informace a doporučení zda zařadit mládež, konkrétní děti do dalších úrovní "školy volejbalu" - naděje, benjaminci, lvíčata nebo zařazení a doporučení k přestupu do SpS, SCM</w:t>
      </w:r>
    </w:p>
    <w:p w14:paraId="1EDC12C2" w14:textId="500905CB" w:rsidR="00C461A1" w:rsidRPr="001F3F35" w:rsidRDefault="00C461A1" w:rsidP="00A43927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informace o úrovni tréninkové činnosti v jednotlivých oddílech z který se rekrutují hráči do KCM</w:t>
      </w:r>
    </w:p>
    <w:p w14:paraId="2DE8209F" w14:textId="545DE4B8" w:rsidR="002F0E9B" w:rsidRPr="001F3F35" w:rsidRDefault="000B115C" w:rsidP="00A43927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výstupy z testování biosomatiky</w:t>
      </w:r>
    </w:p>
    <w:p w14:paraId="084425BA" w14:textId="77777777" w:rsidR="001F3F35" w:rsidRPr="001F3F35" w:rsidRDefault="001F3F35" w:rsidP="001F3F35">
      <w:pPr>
        <w:pStyle w:val="Nadpis1"/>
        <w:spacing w:after="120"/>
        <w:rPr>
          <w:rFonts w:ascii="Arial" w:hAnsi="Arial" w:cs="Arial"/>
        </w:rPr>
      </w:pPr>
    </w:p>
    <w:p w14:paraId="339435B0" w14:textId="6939AB1B" w:rsidR="00C461A1" w:rsidRPr="001F3F35" w:rsidRDefault="00C461A1" w:rsidP="001F3F35">
      <w:pPr>
        <w:pStyle w:val="Nadpis1"/>
        <w:numPr>
          <w:ilvl w:val="2"/>
          <w:numId w:val="25"/>
        </w:numPr>
        <w:spacing w:after="120"/>
        <w:ind w:left="924" w:hanging="357"/>
        <w:rPr>
          <w:rFonts w:ascii="Arial" w:hAnsi="Arial" w:cs="Arial"/>
        </w:rPr>
      </w:pPr>
      <w:r w:rsidRPr="001F3F35">
        <w:rPr>
          <w:rFonts w:ascii="Arial" w:hAnsi="Arial" w:cs="Arial"/>
        </w:rPr>
        <w:t>Dovednostní kempy talentované mládeže</w:t>
      </w:r>
    </w:p>
    <w:p w14:paraId="2896A2AF" w14:textId="6BAA8340" w:rsidR="001F3F35" w:rsidRDefault="00C461A1" w:rsidP="003330DA">
      <w:pPr>
        <w:spacing w:line="360" w:lineRule="auto"/>
        <w:ind w:left="360"/>
        <w:rPr>
          <w:rFonts w:eastAsia="Times New Roman"/>
        </w:rPr>
      </w:pPr>
      <w:r w:rsidRPr="001F3F35">
        <w:rPr>
          <w:rFonts w:eastAsia="Times New Roman"/>
        </w:rPr>
        <w:t xml:space="preserve">Každý kraj by měl </w:t>
      </w:r>
      <w:proofErr w:type="gramStart"/>
      <w:r w:rsidRPr="001F3F35">
        <w:rPr>
          <w:rFonts w:eastAsia="Times New Roman"/>
        </w:rPr>
        <w:t>pořádat</w:t>
      </w:r>
      <w:r w:rsidR="003330DA">
        <w:rPr>
          <w:rFonts w:eastAsia="Times New Roman"/>
        </w:rPr>
        <w:t xml:space="preserve"> </w:t>
      </w:r>
      <w:r w:rsidRPr="001F3F35">
        <w:rPr>
          <w:rFonts w:eastAsia="Times New Roman"/>
        </w:rPr>
        <w:t>”</w:t>
      </w:r>
      <w:proofErr w:type="gramEnd"/>
      <w:r w:rsidRPr="001F3F35">
        <w:rPr>
          <w:rFonts w:eastAsia="Times New Roman"/>
        </w:rPr>
        <w:t xml:space="preserve">Dovednostní kempy”(DK) zaměřené na jednotlivé herní činnosti a přizpůsobené fyzickým předpokladům hráčů a jejich volejbalové úrovni. </w:t>
      </w:r>
      <w:proofErr w:type="gramStart"/>
      <w:r w:rsidRPr="001F3F35">
        <w:rPr>
          <w:rFonts w:eastAsia="Times New Roman"/>
        </w:rPr>
        <w:t xml:space="preserve">Kempy by měli být vedeny nejlepšími trenéry </w:t>
      </w:r>
      <w:r w:rsidR="001F3F35">
        <w:rPr>
          <w:rFonts w:eastAsia="Times New Roman"/>
        </w:rPr>
        <w:t xml:space="preserve">z </w:t>
      </w:r>
      <w:r w:rsidRPr="001F3F35">
        <w:rPr>
          <w:rFonts w:eastAsia="Times New Roman"/>
        </w:rPr>
        <w:t>kraje za účasti širokého spektra trenérů mládeže příslušného kraje.</w:t>
      </w:r>
      <w:proofErr w:type="gramEnd"/>
      <w:r w:rsidRPr="001F3F35">
        <w:rPr>
          <w:rFonts w:eastAsia="Times New Roman"/>
        </w:rPr>
        <w:t xml:space="preserve"> </w:t>
      </w:r>
    </w:p>
    <w:p w14:paraId="5E040062" w14:textId="77777777" w:rsidR="001F3F35" w:rsidRPr="001F3F35" w:rsidRDefault="001F3F35" w:rsidP="001F3F35">
      <w:pPr>
        <w:spacing w:line="360" w:lineRule="auto"/>
        <w:ind w:left="360"/>
        <w:rPr>
          <w:rFonts w:eastAsia="Times New Roman"/>
        </w:rPr>
      </w:pPr>
    </w:p>
    <w:p w14:paraId="7F9ECF04" w14:textId="0C100C84" w:rsidR="00C461A1" w:rsidRPr="001F3F35" w:rsidRDefault="00C461A1" w:rsidP="001F3F35">
      <w:pPr>
        <w:pStyle w:val="Nadpis2"/>
        <w:numPr>
          <w:ilvl w:val="1"/>
          <w:numId w:val="49"/>
        </w:numPr>
        <w:spacing w:after="120"/>
      </w:pPr>
      <w:r w:rsidRPr="001F3F35">
        <w:t xml:space="preserve"> Požadavky ČVS </w:t>
      </w:r>
      <w:proofErr w:type="gramStart"/>
      <w:r w:rsidRPr="001F3F35">
        <w:t>na</w:t>
      </w:r>
      <w:proofErr w:type="gramEnd"/>
      <w:r w:rsidRPr="001F3F35">
        <w:t xml:space="preserve"> DK </w:t>
      </w:r>
    </w:p>
    <w:p w14:paraId="25093739" w14:textId="5E73FB58" w:rsidR="00C461A1" w:rsidRPr="001F3F35" w:rsidRDefault="00C461A1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účast co největšího počtu hráčů bez ohledu na jejich výkonnost či fyzické pře</w:t>
      </w:r>
      <w:r w:rsidR="00047C0B" w:rsidRPr="001F3F35">
        <w:rPr>
          <w:rFonts w:eastAsia="Times New Roman"/>
        </w:rPr>
        <w:t>d</w:t>
      </w:r>
      <w:r w:rsidRPr="001F3F35">
        <w:rPr>
          <w:rFonts w:eastAsia="Times New Roman"/>
        </w:rPr>
        <w:t>poklady</w:t>
      </w:r>
    </w:p>
    <w:p w14:paraId="358068C0" w14:textId="77777777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účast nejlepších trenérů kraje</w:t>
      </w:r>
    </w:p>
    <w:p w14:paraId="0C0BADD3" w14:textId="77777777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v tréninkové činnosti musí převládat učení herních činnosti dle posledních metodických požadavků</w:t>
      </w:r>
    </w:p>
    <w:p w14:paraId="33FBA17C" w14:textId="77777777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konzultace s Úsekem mládeže při vytváření tréninkového obsahu kempů</w:t>
      </w:r>
    </w:p>
    <w:p w14:paraId="176B7ACA" w14:textId="77777777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 xml:space="preserve">vytvoření database hráčů přísloušných ročníků s jejich individuálním oceněním jejich předností a nedostatků </w:t>
      </w:r>
    </w:p>
    <w:p w14:paraId="1EB258B7" w14:textId="77777777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provedení testování ( testovací baterie pro SpS)</w:t>
      </w:r>
    </w:p>
    <w:p w14:paraId="16D907E1" w14:textId="0CAF7902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DK by se měli konat v těchto vždy 2 až 4 v soutěžním období pro věkové kategorie</w:t>
      </w:r>
    </w:p>
    <w:p w14:paraId="2CA91287" w14:textId="77DD2361" w:rsidR="00047C0B" w:rsidRPr="001F3F35" w:rsidRDefault="00047C0B" w:rsidP="001F3F35">
      <w:pPr>
        <w:pStyle w:val="Odstavecseseznamem"/>
        <w:numPr>
          <w:ilvl w:val="0"/>
          <w:numId w:val="45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 xml:space="preserve">Organizace práce v DK bude </w:t>
      </w:r>
      <w:r w:rsidR="007509AA" w:rsidRPr="001F3F35">
        <w:rPr>
          <w:rFonts w:eastAsia="Times New Roman"/>
        </w:rPr>
        <w:t xml:space="preserve">obdobná jako v Benjamínkách a Nadějích </w:t>
      </w:r>
    </w:p>
    <w:p w14:paraId="42C1EF48" w14:textId="48145DED" w:rsidR="00047C0B" w:rsidRPr="001F3F35" w:rsidRDefault="00047C0B" w:rsidP="00047C0B">
      <w:pPr>
        <w:pStyle w:val="Odstavecseseznamem"/>
        <w:numPr>
          <w:ilvl w:val="0"/>
          <w:numId w:val="47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 xml:space="preserve">Třetí třída a mladší </w:t>
      </w:r>
    </w:p>
    <w:p w14:paraId="311685B6" w14:textId="414C1196" w:rsidR="00047C0B" w:rsidRPr="001F3F35" w:rsidRDefault="00047C0B" w:rsidP="00047C0B">
      <w:pPr>
        <w:pStyle w:val="Odstavecseseznamem"/>
        <w:numPr>
          <w:ilvl w:val="0"/>
          <w:numId w:val="47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Pátá třída a mladší</w:t>
      </w:r>
    </w:p>
    <w:p w14:paraId="300169FE" w14:textId="23C3DEC4" w:rsidR="00047C0B" w:rsidRDefault="00047C0B" w:rsidP="00047C0B">
      <w:pPr>
        <w:pStyle w:val="Odstavecseseznamem"/>
        <w:numPr>
          <w:ilvl w:val="0"/>
          <w:numId w:val="47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 xml:space="preserve">Sedmá  třída a mladší </w:t>
      </w:r>
    </w:p>
    <w:p w14:paraId="481792C1" w14:textId="77777777" w:rsidR="001F3F35" w:rsidRPr="001F3F35" w:rsidRDefault="001F3F35" w:rsidP="001F3F35">
      <w:pPr>
        <w:pStyle w:val="Odstavecseseznamem"/>
        <w:spacing w:line="360" w:lineRule="auto"/>
        <w:ind w:left="1800" w:firstLine="0"/>
        <w:rPr>
          <w:rFonts w:eastAsia="Times New Roman"/>
        </w:rPr>
      </w:pPr>
    </w:p>
    <w:p w14:paraId="2C45D72D" w14:textId="01021621" w:rsidR="00047C0B" w:rsidRPr="001F3F35" w:rsidRDefault="001F3F35" w:rsidP="001F3F35">
      <w:pPr>
        <w:pStyle w:val="Nadpis2"/>
        <w:numPr>
          <w:ilvl w:val="1"/>
          <w:numId w:val="49"/>
        </w:numPr>
        <w:spacing w:after="120"/>
      </w:pPr>
      <w:r>
        <w:t xml:space="preserve"> </w:t>
      </w:r>
      <w:r w:rsidR="00047C0B" w:rsidRPr="001F3F35">
        <w:t>Výstupy z DK</w:t>
      </w:r>
    </w:p>
    <w:p w14:paraId="71B61B75" w14:textId="77777777" w:rsidR="001F3F35" w:rsidRDefault="001F3F35" w:rsidP="001F3F35">
      <w:p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 xml:space="preserve">Výstupem z projektu KCM by měla být Souhrnná zpráva obsahující: </w:t>
      </w:r>
    </w:p>
    <w:p w14:paraId="2DF6CB78" w14:textId="72483D07" w:rsidR="00047C0B" w:rsidRPr="001F3F35" w:rsidRDefault="00047C0B" w:rsidP="001F3F35">
      <w:pPr>
        <w:pStyle w:val="Odstavecseseznamem"/>
        <w:numPr>
          <w:ilvl w:val="0"/>
          <w:numId w:val="50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>Vytvoření volejbalových návyků, které pak budou kompatibi</w:t>
      </w:r>
      <w:r w:rsidR="007509AA" w:rsidRPr="001F3F35">
        <w:rPr>
          <w:rFonts w:eastAsia="Times New Roman"/>
        </w:rPr>
        <w:t>l</w:t>
      </w:r>
      <w:r w:rsidRPr="001F3F35">
        <w:rPr>
          <w:rFonts w:eastAsia="Times New Roman"/>
        </w:rPr>
        <w:t>ní s činností v Benjamínkách, Nadějích a Lvíčatech</w:t>
      </w:r>
    </w:p>
    <w:p w14:paraId="6F648A71" w14:textId="607A6D4E" w:rsidR="00047C0B" w:rsidRPr="001F3F35" w:rsidRDefault="007509AA" w:rsidP="001F3F35">
      <w:pPr>
        <w:pStyle w:val="Odstavecseseznamem"/>
        <w:numPr>
          <w:ilvl w:val="0"/>
          <w:numId w:val="50"/>
        </w:numPr>
        <w:spacing w:line="360" w:lineRule="auto"/>
        <w:rPr>
          <w:rFonts w:eastAsia="Times New Roman"/>
        </w:rPr>
      </w:pPr>
      <w:r w:rsidRPr="001F3F35">
        <w:rPr>
          <w:rFonts w:eastAsia="Times New Roman"/>
        </w:rPr>
        <w:t xml:space="preserve">Informace o hráčích s předpoklady pro RD mládeže </w:t>
      </w:r>
    </w:p>
    <w:p w14:paraId="557DB4F9" w14:textId="30B35510" w:rsidR="002F0E9B" w:rsidRPr="001F3F35" w:rsidRDefault="00047C0B" w:rsidP="001F3F35">
      <w:pPr>
        <w:pStyle w:val="Odstavecseseznamem"/>
        <w:spacing w:line="360" w:lineRule="auto"/>
        <w:ind w:left="1080" w:firstLine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 </w:t>
      </w:r>
    </w:p>
    <w:p w14:paraId="046ED6DF" w14:textId="77777777" w:rsidR="00C61C69" w:rsidRPr="003E7AED" w:rsidRDefault="00C61C69" w:rsidP="00A43927">
      <w:pPr>
        <w:spacing w:line="360" w:lineRule="auto"/>
        <w:rPr>
          <w:rFonts w:cstheme="minorHAnsi"/>
        </w:rPr>
      </w:pPr>
    </w:p>
    <w:p w14:paraId="2A91B692" w14:textId="18C16D41" w:rsidR="00D67178" w:rsidRDefault="001337EB" w:rsidP="00BD0594">
      <w:pPr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 xml:space="preserve">Žádost </w:t>
      </w:r>
      <w:r w:rsidR="00D67178" w:rsidRPr="00BD0594">
        <w:rPr>
          <w:rFonts w:cstheme="minorHAnsi"/>
          <w:i/>
        </w:rPr>
        <w:t xml:space="preserve">bude obsahovat: </w:t>
      </w:r>
      <w:r w:rsidR="00C61C69">
        <w:rPr>
          <w:rFonts w:cstheme="minorHAnsi"/>
          <w:i/>
        </w:rPr>
        <w:t xml:space="preserve">Popis projektu (včetně podrobností – termín pořádání, místo pořádání, počet účastníků, atd.); Rozpočet projektu. </w:t>
      </w:r>
    </w:p>
    <w:p w14:paraId="514F3158" w14:textId="77777777" w:rsidR="00FC7CEE" w:rsidRDefault="00FC7CEE" w:rsidP="00BD0594">
      <w:pPr>
        <w:spacing w:line="360" w:lineRule="auto"/>
        <w:rPr>
          <w:rFonts w:cstheme="minorHAnsi"/>
          <w:i/>
        </w:rPr>
      </w:pPr>
    </w:p>
    <w:p w14:paraId="2D8E172A" w14:textId="1460D56D" w:rsidR="004D7D90" w:rsidRDefault="004D7D90" w:rsidP="00BD0594">
      <w:pPr>
        <w:spacing w:line="360" w:lineRule="auto"/>
        <w:rPr>
          <w:rFonts w:cstheme="minorHAnsi"/>
          <w:i/>
        </w:rPr>
      </w:pPr>
      <w:bookmarkStart w:id="1" w:name="_GoBack"/>
      <w:bookmarkEnd w:id="1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283AABE" wp14:editId="61E86A12">
            <wp:simplePos x="0" y="0"/>
            <wp:positionH relativeFrom="column">
              <wp:posOffset>3305810</wp:posOffset>
            </wp:positionH>
            <wp:positionV relativeFrom="paragraph">
              <wp:posOffset>93345</wp:posOffset>
            </wp:positionV>
            <wp:extent cx="193167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02" y="21372"/>
                <wp:lineTo x="2130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B7635" w14:textId="035FFC5B" w:rsidR="004D7D90" w:rsidRPr="00BD0594" w:rsidRDefault="004D7D90" w:rsidP="00BD0594">
      <w:pPr>
        <w:spacing w:line="360" w:lineRule="auto"/>
        <w:rPr>
          <w:rFonts w:cstheme="minorHAnsi"/>
          <w:i/>
        </w:rPr>
      </w:pPr>
    </w:p>
    <w:p w14:paraId="4802F26B" w14:textId="77777777" w:rsidR="00FC7CEE" w:rsidRDefault="00FC7CEE" w:rsidP="00011261">
      <w:pPr>
        <w:spacing w:line="360" w:lineRule="auto"/>
        <w:rPr>
          <w:rFonts w:cstheme="minorHAnsi"/>
        </w:rPr>
      </w:pPr>
    </w:p>
    <w:p w14:paraId="2DCA60A7" w14:textId="77777777" w:rsidR="001337EB" w:rsidRDefault="001337EB" w:rsidP="00011261">
      <w:pPr>
        <w:spacing w:line="360" w:lineRule="auto"/>
        <w:rPr>
          <w:rFonts w:cstheme="minorHAnsi"/>
        </w:rPr>
      </w:pPr>
    </w:p>
    <w:p w14:paraId="40E0C9B8" w14:textId="33EE8E51" w:rsidR="007D3414" w:rsidRDefault="001337EB" w:rsidP="004D7D90">
      <w:pPr>
        <w:spacing w:line="360" w:lineRule="auto"/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.</w:t>
      </w:r>
      <w:r w:rsidR="007D3414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……….</w:t>
      </w:r>
    </w:p>
    <w:p w14:paraId="0AA76A32" w14:textId="47EAB977" w:rsidR="007D3414" w:rsidRDefault="007D3414" w:rsidP="007D341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C7CEE">
        <w:rPr>
          <w:rFonts w:cstheme="minorHAnsi"/>
        </w:rPr>
        <w:tab/>
      </w:r>
      <w:r w:rsidR="00FC7CEE">
        <w:rPr>
          <w:rFonts w:cstheme="minorHAnsi"/>
        </w:rPr>
        <w:tab/>
      </w:r>
      <w:r w:rsidR="001337EB">
        <w:rPr>
          <w:rFonts w:cstheme="minorHAnsi"/>
        </w:rPr>
        <w:t xml:space="preserve">   </w:t>
      </w:r>
      <w:r>
        <w:rPr>
          <w:rFonts w:cstheme="minorHAnsi"/>
        </w:rPr>
        <w:t>Mgr. Marek Pakosta, předseda ČVS</w:t>
      </w:r>
    </w:p>
    <w:p w14:paraId="2C6EDE00" w14:textId="240A755F" w:rsidR="007D3414" w:rsidRDefault="007D3414" w:rsidP="007D3414">
      <w:pPr>
        <w:spacing w:line="360" w:lineRule="auto"/>
        <w:rPr>
          <w:rFonts w:cstheme="minorHAnsi"/>
        </w:rPr>
      </w:pPr>
    </w:p>
    <w:p w14:paraId="31BBDDEC" w14:textId="177CDDAF" w:rsidR="007D3414" w:rsidRDefault="004D7D90" w:rsidP="007D3414">
      <w:pPr>
        <w:spacing w:line="360" w:lineRule="auto"/>
        <w:rPr>
          <w:rFonts w:cstheme="minorHAnsi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31DE87A" wp14:editId="6DCEB1F6">
            <wp:simplePos x="0" y="0"/>
            <wp:positionH relativeFrom="column">
              <wp:posOffset>4156075</wp:posOffset>
            </wp:positionH>
            <wp:positionV relativeFrom="paragraph">
              <wp:posOffset>88265</wp:posOffset>
            </wp:positionV>
            <wp:extent cx="113284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067" y="21176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8546" w14:textId="77777777" w:rsidR="004D7D90" w:rsidRDefault="004D7D90" w:rsidP="007D3414">
      <w:pPr>
        <w:spacing w:line="360" w:lineRule="auto"/>
        <w:rPr>
          <w:rFonts w:cstheme="minorHAnsi"/>
        </w:rPr>
      </w:pPr>
    </w:p>
    <w:p w14:paraId="4524D394" w14:textId="77777777" w:rsidR="004D7D90" w:rsidRDefault="004D7D90" w:rsidP="007D3414">
      <w:pPr>
        <w:spacing w:line="360" w:lineRule="auto"/>
        <w:rPr>
          <w:rFonts w:cstheme="minorHAnsi"/>
        </w:rPr>
      </w:pPr>
    </w:p>
    <w:p w14:paraId="30D5A610" w14:textId="1E7C0948" w:rsidR="004D7D90" w:rsidRDefault="004D7D90" w:rsidP="007D3414">
      <w:pPr>
        <w:spacing w:line="360" w:lineRule="auto"/>
        <w:rPr>
          <w:rFonts w:cstheme="minorHAnsi"/>
        </w:rPr>
      </w:pPr>
    </w:p>
    <w:p w14:paraId="0F3D793C" w14:textId="59E7E70C" w:rsidR="007D3414" w:rsidRDefault="007D3414" w:rsidP="007D341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………………………………………………………..</w:t>
      </w:r>
    </w:p>
    <w:p w14:paraId="325E22C3" w14:textId="0872A290" w:rsidR="007D3414" w:rsidRPr="00FC7CEE" w:rsidRDefault="007D3414" w:rsidP="00FC7CE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proofErr w:type="gramStart"/>
      <w:r>
        <w:rPr>
          <w:rFonts w:cstheme="minorHAnsi"/>
        </w:rPr>
        <w:t>Ing.</w:t>
      </w:r>
      <w:proofErr w:type="gramEnd"/>
      <w:r>
        <w:rPr>
          <w:rFonts w:cstheme="minorHAnsi"/>
        </w:rPr>
        <w:t xml:space="preserve"> Milan Labašta, generální sekretář ČVS</w:t>
      </w:r>
    </w:p>
    <w:sectPr w:rsidR="007D3414" w:rsidRPr="00FC7CEE" w:rsidSect="00BD0594">
      <w:headerReference w:type="default" r:id="rId12"/>
      <w:footerReference w:type="default" r:id="rId13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6119" w14:textId="77777777" w:rsidR="00555193" w:rsidRDefault="00555193" w:rsidP="00D8027B">
      <w:r>
        <w:separator/>
      </w:r>
    </w:p>
  </w:endnote>
  <w:endnote w:type="continuationSeparator" w:id="0">
    <w:p w14:paraId="25991F69" w14:textId="77777777" w:rsidR="00555193" w:rsidRDefault="00555193" w:rsidP="00D8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204835"/>
      <w:docPartObj>
        <w:docPartGallery w:val="Page Numbers (Bottom of Page)"/>
        <w:docPartUnique/>
      </w:docPartObj>
    </w:sdtPr>
    <w:sdtEndPr/>
    <w:sdtContent>
      <w:p w14:paraId="46C0E018" w14:textId="74BD7F46" w:rsidR="00E93D08" w:rsidRDefault="00E93D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90" w:rsidRPr="004D7D90">
          <w:rPr>
            <w:noProof/>
            <w:lang w:val="cs-CZ"/>
          </w:rPr>
          <w:t>7</w:t>
        </w:r>
        <w:r>
          <w:fldChar w:fldCharType="end"/>
        </w:r>
      </w:p>
    </w:sdtContent>
  </w:sdt>
  <w:p w14:paraId="1B5882AA" w14:textId="77777777" w:rsidR="00E93D08" w:rsidRDefault="00E93D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BDF7" w14:textId="77777777" w:rsidR="00555193" w:rsidRDefault="00555193" w:rsidP="00D8027B">
      <w:r>
        <w:separator/>
      </w:r>
    </w:p>
  </w:footnote>
  <w:footnote w:type="continuationSeparator" w:id="0">
    <w:p w14:paraId="53A667F4" w14:textId="77777777" w:rsidR="00555193" w:rsidRDefault="00555193" w:rsidP="00D8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BA7D" w14:textId="6BAB11B3" w:rsidR="001A4D78" w:rsidRDefault="001A4D78">
    <w:pPr>
      <w:pStyle w:val="Zhlav"/>
    </w:pPr>
    <w:r>
      <w:rPr>
        <w:noProof/>
        <w:lang w:val="cs-CZ" w:eastAsia="cs-CZ"/>
      </w:rPr>
      <w:drawing>
        <wp:inline distT="0" distB="0" distL="0" distR="0" wp14:anchorId="4DB45357" wp14:editId="19EE10E4">
          <wp:extent cx="2011197" cy="736133"/>
          <wp:effectExtent l="0" t="0" r="8255" b="6985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C4C7C8-A239-465D-9C73-9C89BCA199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C4C7C8-A239-465D-9C73-9C89BCA199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197" cy="73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19D80" w14:textId="77777777" w:rsidR="001A4D78" w:rsidRDefault="001A4D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58"/>
    <w:multiLevelType w:val="hybridMultilevel"/>
    <w:tmpl w:val="6FEE5F0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21785"/>
    <w:multiLevelType w:val="hybridMultilevel"/>
    <w:tmpl w:val="1FB26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562A4C2">
      <w:start w:val="1"/>
      <w:numFmt w:val="decimal"/>
      <w:lvlText w:val="%3."/>
      <w:lvlJc w:val="left"/>
      <w:pPr>
        <w:ind w:left="927" w:hanging="360"/>
      </w:pPr>
      <w:rPr>
        <w:rFonts w:ascii="Arial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EEC"/>
    <w:multiLevelType w:val="hybridMultilevel"/>
    <w:tmpl w:val="31D64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190"/>
    <w:multiLevelType w:val="hybridMultilevel"/>
    <w:tmpl w:val="F47844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67ED2"/>
    <w:multiLevelType w:val="hybridMultilevel"/>
    <w:tmpl w:val="44B0721C"/>
    <w:lvl w:ilvl="0" w:tplc="38B4CEB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76"/>
        <w:sz w:val="24"/>
        <w:szCs w:val="24"/>
      </w:rPr>
    </w:lvl>
    <w:lvl w:ilvl="1" w:tplc="541050F4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44A6DB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52F627B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E5D4AE36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E8326BC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D6AAD0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510A71C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9A06530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5">
    <w:nsid w:val="136C4482"/>
    <w:multiLevelType w:val="hybridMultilevel"/>
    <w:tmpl w:val="D90656E6"/>
    <w:lvl w:ilvl="0" w:tplc="21A8AD0A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4"/>
        <w:szCs w:val="24"/>
      </w:rPr>
    </w:lvl>
    <w:lvl w:ilvl="1" w:tplc="F2B2562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8B9087E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103C3DF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5468A3C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9B56A7D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3D80BF0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5CF8FA9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DB2CE30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6">
    <w:nsid w:val="15C256EF"/>
    <w:multiLevelType w:val="hybridMultilevel"/>
    <w:tmpl w:val="97EA77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F798D"/>
    <w:multiLevelType w:val="hybridMultilevel"/>
    <w:tmpl w:val="B4409D3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223708"/>
    <w:multiLevelType w:val="hybridMultilevel"/>
    <w:tmpl w:val="F04E97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A749E"/>
    <w:multiLevelType w:val="hybridMultilevel"/>
    <w:tmpl w:val="856AD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5A7D"/>
    <w:multiLevelType w:val="multilevel"/>
    <w:tmpl w:val="456254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1">
    <w:nsid w:val="2AB5198F"/>
    <w:multiLevelType w:val="hybridMultilevel"/>
    <w:tmpl w:val="745423F4"/>
    <w:lvl w:ilvl="0" w:tplc="076E553A">
      <w:start w:val="1"/>
      <w:numFmt w:val="bullet"/>
      <w:lvlText w:val="o"/>
      <w:lvlJc w:val="righ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412BD4"/>
    <w:multiLevelType w:val="hybridMultilevel"/>
    <w:tmpl w:val="34F873AE"/>
    <w:lvl w:ilvl="0" w:tplc="770466D6">
      <w:start w:val="1"/>
      <w:numFmt w:val="decimal"/>
      <w:lvlText w:val="%1."/>
      <w:lvlJc w:val="left"/>
      <w:pPr>
        <w:ind w:left="824" w:hanging="351"/>
        <w:jc w:val="right"/>
      </w:pPr>
      <w:rPr>
        <w:rFonts w:ascii="Arial" w:eastAsia="Arial" w:hAnsi="Arial" w:cs="Arial" w:hint="default"/>
        <w:w w:val="91"/>
        <w:sz w:val="24"/>
        <w:szCs w:val="24"/>
      </w:rPr>
    </w:lvl>
    <w:lvl w:ilvl="1" w:tplc="8DA6A7B0">
      <w:start w:val="1"/>
      <w:numFmt w:val="lowerLetter"/>
      <w:lvlText w:val="%2)"/>
      <w:lvlJc w:val="left"/>
      <w:pPr>
        <w:ind w:left="829" w:hanging="260"/>
      </w:pPr>
      <w:rPr>
        <w:rFonts w:ascii="Arial" w:eastAsia="Arial" w:hAnsi="Arial" w:cs="Arial" w:hint="default"/>
        <w:w w:val="87"/>
        <w:sz w:val="24"/>
        <w:szCs w:val="24"/>
      </w:rPr>
    </w:lvl>
    <w:lvl w:ilvl="2" w:tplc="7812B0CC">
      <w:numFmt w:val="bullet"/>
      <w:lvlText w:val="•"/>
      <w:lvlJc w:val="left"/>
      <w:pPr>
        <w:ind w:left="1802" w:hanging="260"/>
      </w:pPr>
      <w:rPr>
        <w:rFonts w:hint="default"/>
      </w:rPr>
    </w:lvl>
    <w:lvl w:ilvl="3" w:tplc="179CFFB4">
      <w:numFmt w:val="bullet"/>
      <w:lvlText w:val="•"/>
      <w:lvlJc w:val="left"/>
      <w:pPr>
        <w:ind w:left="2705" w:hanging="260"/>
      </w:pPr>
      <w:rPr>
        <w:rFonts w:hint="default"/>
      </w:rPr>
    </w:lvl>
    <w:lvl w:ilvl="4" w:tplc="49106D50">
      <w:numFmt w:val="bullet"/>
      <w:lvlText w:val="•"/>
      <w:lvlJc w:val="left"/>
      <w:pPr>
        <w:ind w:left="3608" w:hanging="260"/>
      </w:pPr>
      <w:rPr>
        <w:rFonts w:hint="default"/>
      </w:rPr>
    </w:lvl>
    <w:lvl w:ilvl="5" w:tplc="F956E1D6">
      <w:numFmt w:val="bullet"/>
      <w:lvlText w:val="•"/>
      <w:lvlJc w:val="left"/>
      <w:pPr>
        <w:ind w:left="4511" w:hanging="260"/>
      </w:pPr>
      <w:rPr>
        <w:rFonts w:hint="default"/>
      </w:rPr>
    </w:lvl>
    <w:lvl w:ilvl="6" w:tplc="83C802CC">
      <w:numFmt w:val="bullet"/>
      <w:lvlText w:val="•"/>
      <w:lvlJc w:val="left"/>
      <w:pPr>
        <w:ind w:left="5414" w:hanging="260"/>
      </w:pPr>
      <w:rPr>
        <w:rFonts w:hint="default"/>
      </w:rPr>
    </w:lvl>
    <w:lvl w:ilvl="7" w:tplc="A9F48CF8">
      <w:numFmt w:val="bullet"/>
      <w:lvlText w:val="•"/>
      <w:lvlJc w:val="left"/>
      <w:pPr>
        <w:ind w:left="6317" w:hanging="260"/>
      </w:pPr>
      <w:rPr>
        <w:rFonts w:hint="default"/>
      </w:rPr>
    </w:lvl>
    <w:lvl w:ilvl="8" w:tplc="6F046F78">
      <w:numFmt w:val="bullet"/>
      <w:lvlText w:val="•"/>
      <w:lvlJc w:val="left"/>
      <w:pPr>
        <w:ind w:left="7220" w:hanging="260"/>
      </w:pPr>
      <w:rPr>
        <w:rFonts w:hint="default"/>
      </w:rPr>
    </w:lvl>
  </w:abstractNum>
  <w:abstractNum w:abstractNumId="13">
    <w:nsid w:val="2F8C433C"/>
    <w:multiLevelType w:val="hybridMultilevel"/>
    <w:tmpl w:val="1C761B96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9E3AD5"/>
    <w:multiLevelType w:val="hybridMultilevel"/>
    <w:tmpl w:val="187A7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6D37"/>
    <w:multiLevelType w:val="hybridMultilevel"/>
    <w:tmpl w:val="55A6316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D40861"/>
    <w:multiLevelType w:val="hybridMultilevel"/>
    <w:tmpl w:val="EEF4C8EE"/>
    <w:lvl w:ilvl="0" w:tplc="F05A7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450EB"/>
    <w:multiLevelType w:val="hybridMultilevel"/>
    <w:tmpl w:val="3AA2B0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1327A"/>
    <w:multiLevelType w:val="hybridMultilevel"/>
    <w:tmpl w:val="75047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0683F"/>
    <w:multiLevelType w:val="hybridMultilevel"/>
    <w:tmpl w:val="F59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E00B5"/>
    <w:multiLevelType w:val="hybridMultilevel"/>
    <w:tmpl w:val="7E40FC1E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BE045E4"/>
    <w:multiLevelType w:val="hybridMultilevel"/>
    <w:tmpl w:val="FA449684"/>
    <w:lvl w:ilvl="0" w:tplc="F5742E4E">
      <w:numFmt w:val="bullet"/>
      <w:lvlText w:val=""/>
      <w:lvlJc w:val="left"/>
      <w:pPr>
        <w:ind w:left="476" w:hanging="348"/>
      </w:pPr>
      <w:rPr>
        <w:rFonts w:ascii="Symbol" w:eastAsia="Symbol" w:hAnsi="Symbol" w:cs="Symbol" w:hint="default"/>
        <w:w w:val="76"/>
        <w:sz w:val="24"/>
        <w:szCs w:val="24"/>
      </w:rPr>
    </w:lvl>
    <w:lvl w:ilvl="1" w:tplc="C4347672"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68C0E492"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58204BA4"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9747020"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0360F962"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F104BEB4"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A6465984"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72E89356">
      <w:numFmt w:val="bullet"/>
      <w:lvlText w:val="•"/>
      <w:lvlJc w:val="left"/>
      <w:pPr>
        <w:ind w:left="7253" w:hanging="348"/>
      </w:pPr>
      <w:rPr>
        <w:rFonts w:hint="default"/>
      </w:rPr>
    </w:lvl>
  </w:abstractNum>
  <w:abstractNum w:abstractNumId="22">
    <w:nsid w:val="3E9520DC"/>
    <w:multiLevelType w:val="hybridMultilevel"/>
    <w:tmpl w:val="49C6B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54439"/>
    <w:multiLevelType w:val="hybridMultilevel"/>
    <w:tmpl w:val="DEBED650"/>
    <w:lvl w:ilvl="0" w:tplc="D7B8708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C75341"/>
    <w:multiLevelType w:val="hybridMultilevel"/>
    <w:tmpl w:val="725A6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51F13"/>
    <w:multiLevelType w:val="hybridMultilevel"/>
    <w:tmpl w:val="260C1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3463C"/>
    <w:multiLevelType w:val="hybridMultilevel"/>
    <w:tmpl w:val="65C23A20"/>
    <w:lvl w:ilvl="0" w:tplc="56349A9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4"/>
        <w:szCs w:val="24"/>
      </w:rPr>
    </w:lvl>
    <w:lvl w:ilvl="1" w:tplc="36E681E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2CA295B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2E60104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3654949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40B4AB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7D20A1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E2A67AC4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4276384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7">
    <w:nsid w:val="46EB6FB4"/>
    <w:multiLevelType w:val="hybridMultilevel"/>
    <w:tmpl w:val="34F873AE"/>
    <w:lvl w:ilvl="0" w:tplc="770466D6">
      <w:start w:val="1"/>
      <w:numFmt w:val="decimal"/>
      <w:lvlText w:val="%1."/>
      <w:lvlJc w:val="left"/>
      <w:pPr>
        <w:ind w:left="824" w:hanging="351"/>
        <w:jc w:val="right"/>
      </w:pPr>
      <w:rPr>
        <w:rFonts w:ascii="Arial" w:eastAsia="Arial" w:hAnsi="Arial" w:cs="Arial" w:hint="default"/>
        <w:w w:val="91"/>
        <w:sz w:val="24"/>
        <w:szCs w:val="24"/>
      </w:rPr>
    </w:lvl>
    <w:lvl w:ilvl="1" w:tplc="8DA6A7B0">
      <w:start w:val="1"/>
      <w:numFmt w:val="lowerLetter"/>
      <w:lvlText w:val="%2)"/>
      <w:lvlJc w:val="left"/>
      <w:pPr>
        <w:ind w:left="829" w:hanging="260"/>
      </w:pPr>
      <w:rPr>
        <w:rFonts w:ascii="Arial" w:eastAsia="Arial" w:hAnsi="Arial" w:cs="Arial" w:hint="default"/>
        <w:w w:val="87"/>
        <w:sz w:val="24"/>
        <w:szCs w:val="24"/>
      </w:rPr>
    </w:lvl>
    <w:lvl w:ilvl="2" w:tplc="7812B0CC">
      <w:numFmt w:val="bullet"/>
      <w:lvlText w:val="•"/>
      <w:lvlJc w:val="left"/>
      <w:pPr>
        <w:ind w:left="1802" w:hanging="260"/>
      </w:pPr>
      <w:rPr>
        <w:rFonts w:hint="default"/>
      </w:rPr>
    </w:lvl>
    <w:lvl w:ilvl="3" w:tplc="179CFFB4">
      <w:numFmt w:val="bullet"/>
      <w:lvlText w:val="•"/>
      <w:lvlJc w:val="left"/>
      <w:pPr>
        <w:ind w:left="2705" w:hanging="260"/>
      </w:pPr>
      <w:rPr>
        <w:rFonts w:hint="default"/>
      </w:rPr>
    </w:lvl>
    <w:lvl w:ilvl="4" w:tplc="49106D50">
      <w:numFmt w:val="bullet"/>
      <w:lvlText w:val="•"/>
      <w:lvlJc w:val="left"/>
      <w:pPr>
        <w:ind w:left="3608" w:hanging="260"/>
      </w:pPr>
      <w:rPr>
        <w:rFonts w:hint="default"/>
      </w:rPr>
    </w:lvl>
    <w:lvl w:ilvl="5" w:tplc="F956E1D6">
      <w:numFmt w:val="bullet"/>
      <w:lvlText w:val="•"/>
      <w:lvlJc w:val="left"/>
      <w:pPr>
        <w:ind w:left="4511" w:hanging="260"/>
      </w:pPr>
      <w:rPr>
        <w:rFonts w:hint="default"/>
      </w:rPr>
    </w:lvl>
    <w:lvl w:ilvl="6" w:tplc="83C802CC">
      <w:numFmt w:val="bullet"/>
      <w:lvlText w:val="•"/>
      <w:lvlJc w:val="left"/>
      <w:pPr>
        <w:ind w:left="5414" w:hanging="260"/>
      </w:pPr>
      <w:rPr>
        <w:rFonts w:hint="default"/>
      </w:rPr>
    </w:lvl>
    <w:lvl w:ilvl="7" w:tplc="A9F48CF8">
      <w:numFmt w:val="bullet"/>
      <w:lvlText w:val="•"/>
      <w:lvlJc w:val="left"/>
      <w:pPr>
        <w:ind w:left="6317" w:hanging="260"/>
      </w:pPr>
      <w:rPr>
        <w:rFonts w:hint="default"/>
      </w:rPr>
    </w:lvl>
    <w:lvl w:ilvl="8" w:tplc="6F046F78">
      <w:numFmt w:val="bullet"/>
      <w:lvlText w:val="•"/>
      <w:lvlJc w:val="left"/>
      <w:pPr>
        <w:ind w:left="7220" w:hanging="260"/>
      </w:pPr>
      <w:rPr>
        <w:rFonts w:hint="default"/>
      </w:rPr>
    </w:lvl>
  </w:abstractNum>
  <w:abstractNum w:abstractNumId="28">
    <w:nsid w:val="48CC0B38"/>
    <w:multiLevelType w:val="hybridMultilevel"/>
    <w:tmpl w:val="7092EA8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F1794F"/>
    <w:multiLevelType w:val="hybridMultilevel"/>
    <w:tmpl w:val="00A0588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A87C98"/>
    <w:multiLevelType w:val="multilevel"/>
    <w:tmpl w:val="3E2C6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5C2C35"/>
    <w:multiLevelType w:val="hybridMultilevel"/>
    <w:tmpl w:val="31145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27B3A"/>
    <w:multiLevelType w:val="multilevel"/>
    <w:tmpl w:val="456254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3">
    <w:nsid w:val="4F1B0A8B"/>
    <w:multiLevelType w:val="multilevel"/>
    <w:tmpl w:val="368C0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34">
    <w:nsid w:val="51027481"/>
    <w:multiLevelType w:val="multilevel"/>
    <w:tmpl w:val="B4E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24086C"/>
    <w:multiLevelType w:val="hybridMultilevel"/>
    <w:tmpl w:val="6C268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C1337"/>
    <w:multiLevelType w:val="hybridMultilevel"/>
    <w:tmpl w:val="530A075A"/>
    <w:lvl w:ilvl="0" w:tplc="4BF45B46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theme="minorHAnsi"/>
      </w:rPr>
    </w:lvl>
    <w:lvl w:ilvl="1" w:tplc="0409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2F43481"/>
    <w:multiLevelType w:val="hybridMultilevel"/>
    <w:tmpl w:val="DE086FF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2F84D3B"/>
    <w:multiLevelType w:val="hybridMultilevel"/>
    <w:tmpl w:val="B828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591884"/>
    <w:multiLevelType w:val="hybridMultilevel"/>
    <w:tmpl w:val="F5F69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3607D"/>
    <w:multiLevelType w:val="hybridMultilevel"/>
    <w:tmpl w:val="DC08C9B2"/>
    <w:lvl w:ilvl="0" w:tplc="51D25F68">
      <w:start w:val="1"/>
      <w:numFmt w:val="decimal"/>
      <w:lvlText w:val="%1."/>
      <w:lvlJc w:val="left"/>
      <w:pPr>
        <w:ind w:left="354" w:hanging="238"/>
      </w:pPr>
      <w:rPr>
        <w:rFonts w:ascii="Arial" w:eastAsia="Arial" w:hAnsi="Arial" w:cs="Arial" w:hint="default"/>
        <w:w w:val="91"/>
        <w:sz w:val="24"/>
        <w:szCs w:val="24"/>
      </w:rPr>
    </w:lvl>
    <w:lvl w:ilvl="1" w:tplc="844E0266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4170B586">
      <w:numFmt w:val="bullet"/>
      <w:lvlText w:val="•"/>
      <w:lvlJc w:val="left"/>
      <w:pPr>
        <w:ind w:left="2149" w:hanging="238"/>
      </w:pPr>
      <w:rPr>
        <w:rFonts w:hint="default"/>
      </w:rPr>
    </w:lvl>
    <w:lvl w:ilvl="3" w:tplc="56E0387C">
      <w:numFmt w:val="bullet"/>
      <w:lvlText w:val="•"/>
      <w:lvlJc w:val="left"/>
      <w:pPr>
        <w:ind w:left="3043" w:hanging="238"/>
      </w:pPr>
      <w:rPr>
        <w:rFonts w:hint="default"/>
      </w:rPr>
    </w:lvl>
    <w:lvl w:ilvl="4" w:tplc="5D889274">
      <w:numFmt w:val="bullet"/>
      <w:lvlText w:val="•"/>
      <w:lvlJc w:val="left"/>
      <w:pPr>
        <w:ind w:left="3938" w:hanging="238"/>
      </w:pPr>
      <w:rPr>
        <w:rFonts w:hint="default"/>
      </w:rPr>
    </w:lvl>
    <w:lvl w:ilvl="5" w:tplc="D248B348"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6F36CE4E">
      <w:numFmt w:val="bullet"/>
      <w:lvlText w:val="•"/>
      <w:lvlJc w:val="left"/>
      <w:pPr>
        <w:ind w:left="5727" w:hanging="238"/>
      </w:pPr>
      <w:rPr>
        <w:rFonts w:hint="default"/>
      </w:rPr>
    </w:lvl>
    <w:lvl w:ilvl="7" w:tplc="2F0653EA">
      <w:numFmt w:val="bullet"/>
      <w:lvlText w:val="•"/>
      <w:lvlJc w:val="left"/>
      <w:pPr>
        <w:ind w:left="6622" w:hanging="238"/>
      </w:pPr>
      <w:rPr>
        <w:rFonts w:hint="default"/>
      </w:rPr>
    </w:lvl>
    <w:lvl w:ilvl="8" w:tplc="8A241692">
      <w:numFmt w:val="bullet"/>
      <w:lvlText w:val="•"/>
      <w:lvlJc w:val="left"/>
      <w:pPr>
        <w:ind w:left="7517" w:hanging="238"/>
      </w:pPr>
      <w:rPr>
        <w:rFonts w:hint="default"/>
      </w:rPr>
    </w:lvl>
  </w:abstractNum>
  <w:abstractNum w:abstractNumId="41">
    <w:nsid w:val="5C7E07E5"/>
    <w:multiLevelType w:val="hybridMultilevel"/>
    <w:tmpl w:val="C29C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FA256F"/>
    <w:multiLevelType w:val="hybridMultilevel"/>
    <w:tmpl w:val="7234B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C0E9B"/>
    <w:multiLevelType w:val="multilevel"/>
    <w:tmpl w:val="FC481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44">
    <w:nsid w:val="6BF973A9"/>
    <w:multiLevelType w:val="hybridMultilevel"/>
    <w:tmpl w:val="6E925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438BC"/>
    <w:multiLevelType w:val="hybridMultilevel"/>
    <w:tmpl w:val="B2109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F0D5E"/>
    <w:multiLevelType w:val="hybridMultilevel"/>
    <w:tmpl w:val="FBBC1514"/>
    <w:lvl w:ilvl="0" w:tplc="10FE5156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6054B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B1B062C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8AD0B376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2892C45C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91DE98D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F5C8CB6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BD563B0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05501AA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47">
    <w:nsid w:val="73A7175E"/>
    <w:multiLevelType w:val="hybridMultilevel"/>
    <w:tmpl w:val="5F68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D513E"/>
    <w:multiLevelType w:val="multilevel"/>
    <w:tmpl w:val="DD583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C652D"/>
    <w:multiLevelType w:val="multilevel"/>
    <w:tmpl w:val="456254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40"/>
  </w:num>
  <w:num w:numId="4">
    <w:abstractNumId w:val="5"/>
  </w:num>
  <w:num w:numId="5">
    <w:abstractNumId w:val="27"/>
  </w:num>
  <w:num w:numId="6">
    <w:abstractNumId w:val="46"/>
  </w:num>
  <w:num w:numId="7">
    <w:abstractNumId w:val="26"/>
  </w:num>
  <w:num w:numId="8">
    <w:abstractNumId w:val="12"/>
  </w:num>
  <w:num w:numId="9">
    <w:abstractNumId w:val="14"/>
  </w:num>
  <w:num w:numId="10">
    <w:abstractNumId w:val="38"/>
  </w:num>
  <w:num w:numId="11">
    <w:abstractNumId w:val="6"/>
  </w:num>
  <w:num w:numId="12">
    <w:abstractNumId w:val="29"/>
  </w:num>
  <w:num w:numId="13">
    <w:abstractNumId w:val="18"/>
  </w:num>
  <w:num w:numId="14">
    <w:abstractNumId w:val="20"/>
  </w:num>
  <w:num w:numId="15">
    <w:abstractNumId w:val="3"/>
  </w:num>
  <w:num w:numId="16">
    <w:abstractNumId w:val="37"/>
  </w:num>
  <w:num w:numId="17">
    <w:abstractNumId w:val="15"/>
  </w:num>
  <w:num w:numId="18">
    <w:abstractNumId w:val="41"/>
  </w:num>
  <w:num w:numId="19">
    <w:abstractNumId w:val="25"/>
  </w:num>
  <w:num w:numId="20">
    <w:abstractNumId w:val="47"/>
  </w:num>
  <w:num w:numId="21">
    <w:abstractNumId w:val="22"/>
  </w:num>
  <w:num w:numId="22">
    <w:abstractNumId w:val="23"/>
  </w:num>
  <w:num w:numId="23">
    <w:abstractNumId w:val="28"/>
  </w:num>
  <w:num w:numId="24">
    <w:abstractNumId w:val="44"/>
  </w:num>
  <w:num w:numId="25">
    <w:abstractNumId w:val="1"/>
  </w:num>
  <w:num w:numId="26">
    <w:abstractNumId w:val="8"/>
  </w:num>
  <w:num w:numId="27">
    <w:abstractNumId w:val="4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"/>
  </w:num>
  <w:num w:numId="33">
    <w:abstractNumId w:val="9"/>
  </w:num>
  <w:num w:numId="34">
    <w:abstractNumId w:val="42"/>
  </w:num>
  <w:num w:numId="35">
    <w:abstractNumId w:val="7"/>
  </w:num>
  <w:num w:numId="36">
    <w:abstractNumId w:val="16"/>
  </w:num>
  <w:num w:numId="37">
    <w:abstractNumId w:val="32"/>
  </w:num>
  <w:num w:numId="38">
    <w:abstractNumId w:val="35"/>
  </w:num>
  <w:num w:numId="39">
    <w:abstractNumId w:val="49"/>
  </w:num>
  <w:num w:numId="40">
    <w:abstractNumId w:val="19"/>
  </w:num>
  <w:num w:numId="41">
    <w:abstractNumId w:val="24"/>
  </w:num>
  <w:num w:numId="42">
    <w:abstractNumId w:val="13"/>
  </w:num>
  <w:num w:numId="43">
    <w:abstractNumId w:val="33"/>
  </w:num>
  <w:num w:numId="44">
    <w:abstractNumId w:val="10"/>
  </w:num>
  <w:num w:numId="45">
    <w:abstractNumId w:val="31"/>
  </w:num>
  <w:num w:numId="46">
    <w:abstractNumId w:val="0"/>
  </w:num>
  <w:num w:numId="47">
    <w:abstractNumId w:val="11"/>
  </w:num>
  <w:num w:numId="48">
    <w:abstractNumId w:val="17"/>
  </w:num>
  <w:num w:numId="49">
    <w:abstractNumId w:val="4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0C"/>
    <w:rsid w:val="00011261"/>
    <w:rsid w:val="0001326B"/>
    <w:rsid w:val="00032453"/>
    <w:rsid w:val="00047C0B"/>
    <w:rsid w:val="00063B48"/>
    <w:rsid w:val="00092E46"/>
    <w:rsid w:val="000B115C"/>
    <w:rsid w:val="000B2CA2"/>
    <w:rsid w:val="000D0881"/>
    <w:rsid w:val="000E3C4F"/>
    <w:rsid w:val="00103978"/>
    <w:rsid w:val="001337EB"/>
    <w:rsid w:val="001564CE"/>
    <w:rsid w:val="00163D26"/>
    <w:rsid w:val="0017181A"/>
    <w:rsid w:val="0017617C"/>
    <w:rsid w:val="00181473"/>
    <w:rsid w:val="001914F8"/>
    <w:rsid w:val="00192797"/>
    <w:rsid w:val="001931F8"/>
    <w:rsid w:val="001A4D78"/>
    <w:rsid w:val="001B0693"/>
    <w:rsid w:val="001B5496"/>
    <w:rsid w:val="001F3F35"/>
    <w:rsid w:val="00225C7C"/>
    <w:rsid w:val="00240320"/>
    <w:rsid w:val="0025350C"/>
    <w:rsid w:val="00257BF3"/>
    <w:rsid w:val="00275FF1"/>
    <w:rsid w:val="002928C1"/>
    <w:rsid w:val="002C19E4"/>
    <w:rsid w:val="002C40C8"/>
    <w:rsid w:val="002D1B04"/>
    <w:rsid w:val="002F0E9B"/>
    <w:rsid w:val="003237A6"/>
    <w:rsid w:val="00332E92"/>
    <w:rsid w:val="003330DA"/>
    <w:rsid w:val="003350BB"/>
    <w:rsid w:val="00346346"/>
    <w:rsid w:val="00361C9C"/>
    <w:rsid w:val="003E7AED"/>
    <w:rsid w:val="003F28DF"/>
    <w:rsid w:val="003F2AB4"/>
    <w:rsid w:val="00434607"/>
    <w:rsid w:val="004367E6"/>
    <w:rsid w:val="00464975"/>
    <w:rsid w:val="004944EF"/>
    <w:rsid w:val="00497C4E"/>
    <w:rsid w:val="004D5D3F"/>
    <w:rsid w:val="004D7D90"/>
    <w:rsid w:val="00550242"/>
    <w:rsid w:val="00555193"/>
    <w:rsid w:val="00560E2F"/>
    <w:rsid w:val="005747D5"/>
    <w:rsid w:val="005C5CE2"/>
    <w:rsid w:val="005C7D87"/>
    <w:rsid w:val="005E5320"/>
    <w:rsid w:val="005F02B0"/>
    <w:rsid w:val="00624953"/>
    <w:rsid w:val="00627E00"/>
    <w:rsid w:val="006458C3"/>
    <w:rsid w:val="00676FDC"/>
    <w:rsid w:val="006E4929"/>
    <w:rsid w:val="00702A08"/>
    <w:rsid w:val="00732290"/>
    <w:rsid w:val="007509AA"/>
    <w:rsid w:val="00777E44"/>
    <w:rsid w:val="007D076B"/>
    <w:rsid w:val="007D3414"/>
    <w:rsid w:val="007F58BF"/>
    <w:rsid w:val="007F64B4"/>
    <w:rsid w:val="00817C97"/>
    <w:rsid w:val="00825D8A"/>
    <w:rsid w:val="008307A3"/>
    <w:rsid w:val="00882AB6"/>
    <w:rsid w:val="008970AB"/>
    <w:rsid w:val="00903761"/>
    <w:rsid w:val="009168AB"/>
    <w:rsid w:val="00942AE5"/>
    <w:rsid w:val="00962449"/>
    <w:rsid w:val="00982736"/>
    <w:rsid w:val="00991507"/>
    <w:rsid w:val="009A2A25"/>
    <w:rsid w:val="009B04C6"/>
    <w:rsid w:val="009E4D20"/>
    <w:rsid w:val="009E7C49"/>
    <w:rsid w:val="009F2A6B"/>
    <w:rsid w:val="00A43927"/>
    <w:rsid w:val="00A473C9"/>
    <w:rsid w:val="00A9512E"/>
    <w:rsid w:val="00AA360F"/>
    <w:rsid w:val="00AA65D2"/>
    <w:rsid w:val="00AB7EFF"/>
    <w:rsid w:val="00AD1F22"/>
    <w:rsid w:val="00AD5CC0"/>
    <w:rsid w:val="00AD63B9"/>
    <w:rsid w:val="00B21B31"/>
    <w:rsid w:val="00B42030"/>
    <w:rsid w:val="00B6107E"/>
    <w:rsid w:val="00BB58C3"/>
    <w:rsid w:val="00BD0594"/>
    <w:rsid w:val="00BD4109"/>
    <w:rsid w:val="00BF5854"/>
    <w:rsid w:val="00C30DC7"/>
    <w:rsid w:val="00C461A1"/>
    <w:rsid w:val="00C564FB"/>
    <w:rsid w:val="00C61C69"/>
    <w:rsid w:val="00C66597"/>
    <w:rsid w:val="00C67748"/>
    <w:rsid w:val="00C73CE8"/>
    <w:rsid w:val="00C85847"/>
    <w:rsid w:val="00CB389D"/>
    <w:rsid w:val="00CC0683"/>
    <w:rsid w:val="00CD0D6A"/>
    <w:rsid w:val="00D35418"/>
    <w:rsid w:val="00D67178"/>
    <w:rsid w:val="00D8027B"/>
    <w:rsid w:val="00DA03C1"/>
    <w:rsid w:val="00DA0E0F"/>
    <w:rsid w:val="00E44DD5"/>
    <w:rsid w:val="00E93D08"/>
    <w:rsid w:val="00EA512B"/>
    <w:rsid w:val="00EC2B83"/>
    <w:rsid w:val="00F31FA5"/>
    <w:rsid w:val="00F45014"/>
    <w:rsid w:val="00F621F6"/>
    <w:rsid w:val="00FC444B"/>
    <w:rsid w:val="00FC7CEE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5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02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27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802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27B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A2A2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2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25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2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25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2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25"/>
    <w:rPr>
      <w:rFonts w:ascii="Times New Roman" w:eastAsia="Arial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BD4109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5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02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27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802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27B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A2A2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2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25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2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25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2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25"/>
    <w:rPr>
      <w:rFonts w:ascii="Times New Roman" w:eastAsia="Arial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BD410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03D7-A100-4456-B611-310BCF5D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1528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MSMT</dc:creator>
  <cp:lastModifiedBy>ucto</cp:lastModifiedBy>
  <cp:revision>10</cp:revision>
  <cp:lastPrinted>2019-05-22T10:42:00Z</cp:lastPrinted>
  <dcterms:created xsi:type="dcterms:W3CDTF">2019-05-22T15:40:00Z</dcterms:created>
  <dcterms:modified xsi:type="dcterms:W3CDTF">2019-05-24T08:29:00Z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